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19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456"/>
        <w:gridCol w:w="5994"/>
      </w:tblGrid>
      <w:tr w:rsidR="00183CF5" w:rsidTr="00183CF5">
        <w:trPr>
          <w:jc w:val="center"/>
        </w:trPr>
        <w:tc>
          <w:tcPr>
            <w:tcW w:w="743" w:type="dxa"/>
          </w:tcPr>
          <w:p w:rsidR="00183CF5" w:rsidRDefault="00183CF5" w:rsidP="00104546">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7450" w:type="dxa"/>
            <w:gridSpan w:val="2"/>
          </w:tcPr>
          <w:p w:rsidR="00183CF5" w:rsidRDefault="00183CF5" w:rsidP="00104546">
            <w:pPr>
              <w:suppressLineNumbers/>
              <w:rPr>
                <w:rFonts w:ascii="Arial" w:hAnsi="Arial"/>
                <w:b/>
                <w:bCs/>
                <w:rtl/>
              </w:rPr>
            </w:pPr>
            <w:r>
              <w:rPr>
                <w:rFonts w:ascii="Arial" w:hAnsi="Arial" w:hint="cs"/>
                <w:b/>
                <w:bCs/>
                <w:rtl/>
              </w:rPr>
              <w:t>כבוד ה</w:t>
            </w:r>
            <w:sdt>
              <w:sdtPr>
                <w:rPr>
                  <w:rtl/>
                </w:rPr>
                <w:alias w:val="1574"/>
                <w:tag w:val="1574"/>
                <w:id w:val="1560435599"/>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679653438"/>
                <w:text w:multiLine="1"/>
              </w:sdtPr>
              <w:sdtEndPr/>
              <w:sdtContent>
                <w:r>
                  <w:rPr>
                    <w:rFonts w:ascii="Arial" w:hAnsi="Arial"/>
                    <w:b/>
                    <w:bCs/>
                    <w:rtl/>
                  </w:rPr>
                  <w:t>חננאל שרעבי</w:t>
                </w:r>
              </w:sdtContent>
            </w:sdt>
          </w:p>
          <w:p w:rsidR="00183CF5" w:rsidRDefault="00183CF5" w:rsidP="00104546">
            <w:pPr>
              <w:suppressLineNumbers/>
              <w:rPr>
                <w:rFonts w:ascii="Arial" w:hAnsi="Arial" w:cs="FrankRuehl"/>
                <w:sz w:val="28"/>
                <w:szCs w:val="28"/>
                <w:highlight w:val="yellow"/>
              </w:rPr>
            </w:pPr>
          </w:p>
        </w:tc>
      </w:tr>
      <w:tr w:rsidR="00183CF5" w:rsidTr="00183CF5">
        <w:trPr>
          <w:jc w:val="center"/>
        </w:trPr>
        <w:tc>
          <w:tcPr>
            <w:tcW w:w="2199" w:type="dxa"/>
            <w:gridSpan w:val="2"/>
          </w:tcPr>
          <w:p w:rsidR="00183CF5" w:rsidRDefault="00183CF5" w:rsidP="00104546">
            <w:pPr>
              <w:suppressLineNumbers/>
              <w:rPr>
                <w:rFonts w:ascii="Arial" w:hAnsi="Arial"/>
                <w:b/>
                <w:bCs/>
                <w:noProof w:val="0"/>
                <w:sz w:val="26"/>
                <w:szCs w:val="26"/>
              </w:rPr>
            </w:pPr>
          </w:p>
          <w:sdt>
            <w:sdtPr>
              <w:rPr>
                <w:b/>
                <w:bCs/>
                <w:sz w:val="26"/>
                <w:szCs w:val="26"/>
                <w:rtl/>
              </w:rPr>
              <w:alias w:val="1180"/>
              <w:tag w:val="1180"/>
              <w:id w:val="644008059"/>
              <w:text w:multiLine="1"/>
            </w:sdtPr>
            <w:sdtEndPr/>
            <w:sdtContent>
              <w:p w:rsidR="00183CF5" w:rsidRDefault="00183CF5" w:rsidP="00183CF5">
                <w:pPr>
                  <w:suppressLineNumbers/>
                  <w:spacing w:after="120"/>
                  <w:rPr>
                    <w:rFonts w:ascii="Arial" w:hAnsi="Arial"/>
                    <w:b/>
                    <w:bCs/>
                    <w:noProof w:val="0"/>
                    <w:sz w:val="26"/>
                    <w:szCs w:val="26"/>
                    <w:rtl/>
                  </w:rPr>
                </w:pPr>
                <w:r w:rsidRPr="008750ED">
                  <w:rPr>
                    <w:rFonts w:ascii="Arial" w:hAnsi="Arial" w:hint="cs"/>
                    <w:b/>
                    <w:bCs/>
                    <w:noProof w:val="0"/>
                    <w:sz w:val="26"/>
                    <w:szCs w:val="26"/>
                    <w:rtl/>
                  </w:rPr>
                  <w:t>מבקש</w:t>
                </w:r>
                <w:r w:rsidRPr="008750ED">
                  <w:rPr>
                    <w:rFonts w:hint="cs"/>
                    <w:b/>
                    <w:bCs/>
                    <w:sz w:val="26"/>
                    <w:szCs w:val="26"/>
                    <w:rtl/>
                  </w:rPr>
                  <w:t>ת</w:t>
                </w:r>
              </w:p>
            </w:sdtContent>
          </w:sdt>
        </w:tc>
        <w:tc>
          <w:tcPr>
            <w:tcW w:w="5994" w:type="dxa"/>
          </w:tcPr>
          <w:p w:rsidR="00183CF5" w:rsidRDefault="00183CF5" w:rsidP="00104546">
            <w:pPr>
              <w:suppressLineNumbers/>
              <w:rPr>
                <w:rFonts w:ascii="Arial" w:hAnsi="Arial"/>
                <w:b/>
                <w:bCs/>
                <w:noProof w:val="0"/>
                <w:sz w:val="26"/>
                <w:szCs w:val="26"/>
                <w:rtl/>
              </w:rPr>
            </w:pPr>
          </w:p>
          <w:p w:rsidR="00183CF5" w:rsidRDefault="00D42E09" w:rsidP="00D42E09">
            <w:pPr>
              <w:spacing w:after="120" w:line="360" w:lineRule="auto"/>
              <w:rPr>
                <w:b/>
                <w:bCs/>
                <w:sz w:val="26"/>
                <w:szCs w:val="26"/>
                <w:rtl/>
              </w:rPr>
            </w:pPr>
            <w:r>
              <w:rPr>
                <w:rFonts w:hint="cs"/>
                <w:b/>
                <w:bCs/>
                <w:sz w:val="26"/>
                <w:szCs w:val="26"/>
                <w:rtl/>
              </w:rPr>
              <w:t>ס. ע. א</w:t>
            </w:r>
            <w:r w:rsidR="00183CF5">
              <w:rPr>
                <w:b/>
                <w:bCs/>
                <w:sz w:val="26"/>
                <w:szCs w:val="26"/>
                <w:rtl/>
              </w:rPr>
              <w:t>–</w:t>
            </w:r>
            <w:r w:rsidR="00183CF5">
              <w:rPr>
                <w:rFonts w:hint="cs"/>
                <w:b/>
                <w:bCs/>
                <w:sz w:val="26"/>
                <w:szCs w:val="26"/>
                <w:rtl/>
              </w:rPr>
              <w:t xml:space="preserve"> נפטרה ביום 17.6.23</w:t>
            </w:r>
          </w:p>
          <w:p w:rsidR="00183CF5" w:rsidRDefault="00183CF5" w:rsidP="00D42E09">
            <w:pPr>
              <w:spacing w:after="120" w:line="360" w:lineRule="auto"/>
              <w:rPr>
                <w:b/>
                <w:bCs/>
                <w:sz w:val="26"/>
                <w:szCs w:val="26"/>
                <w:rtl/>
              </w:rPr>
            </w:pPr>
            <w:r>
              <w:rPr>
                <w:rFonts w:hint="cs"/>
                <w:b/>
                <w:bCs/>
                <w:sz w:val="26"/>
                <w:szCs w:val="26"/>
                <w:rtl/>
              </w:rPr>
              <w:t xml:space="preserve">באמצעות היורשת הפוטנציאלית עפ"י צוואת המנוחה </w:t>
            </w:r>
            <w:r>
              <w:rPr>
                <w:b/>
                <w:bCs/>
                <w:sz w:val="26"/>
                <w:szCs w:val="26"/>
                <w:rtl/>
              </w:rPr>
              <w:t>–</w:t>
            </w:r>
            <w:r>
              <w:rPr>
                <w:rFonts w:hint="cs"/>
                <w:b/>
                <w:bCs/>
                <w:sz w:val="26"/>
                <w:szCs w:val="26"/>
                <w:rtl/>
              </w:rPr>
              <w:t xml:space="preserve"> </w:t>
            </w:r>
            <w:r w:rsidR="00D42E09">
              <w:rPr>
                <w:rFonts w:hint="cs"/>
                <w:b/>
                <w:bCs/>
                <w:sz w:val="26"/>
                <w:szCs w:val="26"/>
                <w:rtl/>
              </w:rPr>
              <w:t>פ. כ</w:t>
            </w:r>
          </w:p>
          <w:p w:rsidR="00183CF5" w:rsidRDefault="00183CF5" w:rsidP="00104546">
            <w:pPr>
              <w:spacing w:after="240" w:line="360" w:lineRule="auto"/>
              <w:rPr>
                <w:b/>
                <w:bCs/>
                <w:noProof w:val="0"/>
                <w:sz w:val="26"/>
                <w:szCs w:val="26"/>
              </w:rPr>
            </w:pPr>
            <w:r>
              <w:rPr>
                <w:b/>
                <w:bCs/>
                <w:sz w:val="26"/>
                <w:szCs w:val="26"/>
                <w:rtl/>
              </w:rPr>
              <w:t xml:space="preserve">ע"י ב"כ עו"ד </w:t>
            </w:r>
            <w:r>
              <w:rPr>
                <w:rFonts w:hint="cs"/>
                <w:b/>
                <w:bCs/>
                <w:sz w:val="26"/>
                <w:szCs w:val="26"/>
                <w:rtl/>
              </w:rPr>
              <w:t>סעיד גאליה</w:t>
            </w:r>
          </w:p>
        </w:tc>
      </w:tr>
      <w:tr w:rsidR="00183CF5" w:rsidTr="00183CF5">
        <w:trPr>
          <w:jc w:val="center"/>
        </w:trPr>
        <w:tc>
          <w:tcPr>
            <w:tcW w:w="8193" w:type="dxa"/>
            <w:gridSpan w:val="3"/>
          </w:tcPr>
          <w:p w:rsidR="00183CF5" w:rsidRDefault="00183CF5" w:rsidP="00104546">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183CF5" w:rsidRDefault="00183CF5" w:rsidP="00104546">
            <w:pPr>
              <w:suppressLineNumbers/>
              <w:rPr>
                <w:rFonts w:ascii="Arial" w:hAnsi="Arial"/>
                <w:b/>
                <w:bCs/>
                <w:noProof w:val="0"/>
                <w:sz w:val="26"/>
                <w:szCs w:val="26"/>
              </w:rPr>
            </w:pPr>
          </w:p>
        </w:tc>
      </w:tr>
      <w:tr w:rsidR="00183CF5" w:rsidTr="00183CF5">
        <w:trPr>
          <w:jc w:val="center"/>
        </w:trPr>
        <w:tc>
          <w:tcPr>
            <w:tcW w:w="2199" w:type="dxa"/>
            <w:gridSpan w:val="2"/>
          </w:tcPr>
          <w:p w:rsidR="00183CF5" w:rsidRDefault="00E44387" w:rsidP="00104546">
            <w:pPr>
              <w:suppressLineNumbers/>
              <w:spacing w:after="120"/>
              <w:rPr>
                <w:rFonts w:ascii="Arial" w:hAnsi="Arial"/>
                <w:b/>
                <w:bCs/>
                <w:noProof w:val="0"/>
                <w:sz w:val="26"/>
                <w:szCs w:val="26"/>
              </w:rPr>
            </w:pPr>
            <w:sdt>
              <w:sdtPr>
                <w:rPr>
                  <w:b/>
                  <w:bCs/>
                  <w:rtl/>
                </w:rPr>
                <w:alias w:val="1184"/>
                <w:tag w:val="1184"/>
                <w:id w:val="1825153799"/>
                <w:text w:multiLine="1"/>
              </w:sdtPr>
              <w:sdtEndPr/>
              <w:sdtContent>
                <w:r w:rsidR="00183CF5" w:rsidRPr="002952DC">
                  <w:rPr>
                    <w:rFonts w:ascii="Arial" w:hAnsi="Arial"/>
                    <w:b/>
                    <w:bCs/>
                    <w:noProof w:val="0"/>
                    <w:sz w:val="26"/>
                    <w:szCs w:val="26"/>
                    <w:rtl/>
                  </w:rPr>
                  <w:t>משיב</w:t>
                </w:r>
              </w:sdtContent>
            </w:sdt>
          </w:p>
        </w:tc>
        <w:tc>
          <w:tcPr>
            <w:tcW w:w="5994" w:type="dxa"/>
          </w:tcPr>
          <w:p w:rsidR="00183CF5" w:rsidRPr="00E54CD9" w:rsidRDefault="00E44387" w:rsidP="00D42E09">
            <w:pPr>
              <w:suppressLineNumbers/>
              <w:spacing w:after="120" w:line="360" w:lineRule="auto"/>
              <w:rPr>
                <w:rFonts w:ascii="Arial" w:hAnsi="Arial"/>
                <w:b/>
                <w:bCs/>
                <w:noProof w:val="0"/>
                <w:sz w:val="26"/>
                <w:szCs w:val="26"/>
                <w:rtl/>
              </w:rPr>
            </w:pPr>
            <w:sdt>
              <w:sdtPr>
                <w:rPr>
                  <w:b/>
                  <w:bCs/>
                  <w:sz w:val="26"/>
                  <w:szCs w:val="26"/>
                  <w:rtl/>
                </w:rPr>
                <w:alias w:val="1571"/>
                <w:tag w:val="1571"/>
                <w:id w:val="1028836282"/>
                <w:text w:multiLine="1"/>
              </w:sdtPr>
              <w:sdtEndPr/>
              <w:sdtContent>
                <w:r w:rsidR="00D42E09">
                  <w:rPr>
                    <w:rFonts w:hint="cs"/>
                    <w:b/>
                    <w:bCs/>
                    <w:sz w:val="26"/>
                    <w:szCs w:val="26"/>
                    <w:rtl/>
                  </w:rPr>
                  <w:t>א. א</w:t>
                </w:r>
                <w:r w:rsidR="00183CF5">
                  <w:rPr>
                    <w:b/>
                    <w:bCs/>
                    <w:sz w:val="26"/>
                    <w:szCs w:val="26"/>
                    <w:rtl/>
                  </w:rPr>
                  <w:br/>
                </w:r>
                <w:r w:rsidR="00183CF5">
                  <w:rPr>
                    <w:rFonts w:hint="cs"/>
                    <w:b/>
                    <w:bCs/>
                    <w:sz w:val="26"/>
                    <w:szCs w:val="26"/>
                    <w:rtl/>
                  </w:rPr>
                  <w:t>ע"י ב"כ עו"ד מוופק אבו יונס</w:t>
                </w:r>
              </w:sdtContent>
            </w:sdt>
          </w:p>
        </w:tc>
      </w:tr>
      <w:tr w:rsidR="00183CF5" w:rsidTr="00183CF5">
        <w:trPr>
          <w:jc w:val="center"/>
        </w:trPr>
        <w:tc>
          <w:tcPr>
            <w:tcW w:w="2199" w:type="dxa"/>
            <w:gridSpan w:val="2"/>
          </w:tcPr>
          <w:p w:rsidR="00183CF5" w:rsidRDefault="00183CF5" w:rsidP="00104546">
            <w:pPr>
              <w:rPr>
                <w:rFonts w:ascii="David" w:eastAsia="David" w:hAnsi="David"/>
                <w:noProof w:val="0"/>
              </w:rPr>
            </w:pPr>
          </w:p>
        </w:tc>
        <w:tc>
          <w:tcPr>
            <w:tcW w:w="5994" w:type="dxa"/>
          </w:tcPr>
          <w:p w:rsidR="00183CF5" w:rsidRDefault="00183CF5" w:rsidP="00104546">
            <w:pPr>
              <w:rPr>
                <w:b/>
                <w:bCs/>
                <w:sz w:val="26"/>
                <w:szCs w:val="26"/>
              </w:rPr>
            </w:pPr>
          </w:p>
        </w:tc>
      </w:tr>
      <w:tr w:rsidR="00183CF5" w:rsidTr="00183CF5">
        <w:trPr>
          <w:jc w:val="center"/>
        </w:trPr>
        <w:tc>
          <w:tcPr>
            <w:tcW w:w="8193" w:type="dxa"/>
            <w:gridSpan w:val="3"/>
          </w:tcPr>
          <w:p w:rsidR="00183CF5" w:rsidRDefault="00183CF5" w:rsidP="00104546">
            <w:pPr>
              <w:suppressLineNumbers/>
              <w:rPr>
                <w:rFonts w:ascii="Arial" w:hAnsi="Arial"/>
                <w:b/>
                <w:bCs/>
                <w:noProof w:val="0"/>
                <w:sz w:val="26"/>
                <w:szCs w:val="26"/>
                <w:rtl/>
              </w:rPr>
            </w:pPr>
          </w:p>
        </w:tc>
      </w:tr>
      <w:tr w:rsidR="00183CF5" w:rsidRPr="00DE1E7D" w:rsidTr="00183CF5">
        <w:trPr>
          <w:jc w:val="center"/>
        </w:trPr>
        <w:tc>
          <w:tcPr>
            <w:tcW w:w="8193" w:type="dxa"/>
            <w:gridSpan w:val="3"/>
          </w:tcPr>
          <w:p w:rsidR="00183CF5" w:rsidRDefault="00183CF5" w:rsidP="00104546">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183CF5" w:rsidRPr="00D44968" w:rsidRDefault="00183CF5" w:rsidP="00104546">
            <w:pPr>
              <w:bidi w:val="0"/>
              <w:jc w:val="center"/>
              <w:rPr>
                <w:rFonts w:ascii="Arial" w:hAnsi="Arial"/>
                <w:b/>
                <w:bCs/>
                <w:noProof w:val="0"/>
                <w:sz w:val="28"/>
                <w:szCs w:val="28"/>
                <w:u w:val="single"/>
              </w:rPr>
            </w:pPr>
          </w:p>
        </w:tc>
      </w:tr>
    </w:tbl>
    <w:p w:rsidR="00183CF5" w:rsidRDefault="00183CF5" w:rsidP="00183CF5">
      <w:pPr>
        <w:spacing w:after="120" w:line="360" w:lineRule="auto"/>
        <w:ind w:left="567" w:hanging="567"/>
        <w:jc w:val="both"/>
        <w:rPr>
          <w:rtl/>
        </w:rPr>
      </w:pPr>
      <w:r>
        <w:rPr>
          <w:rtl/>
        </w:rPr>
        <w:t>1.</w:t>
      </w:r>
      <w:r>
        <w:rPr>
          <w:rtl/>
        </w:rPr>
        <w:tab/>
        <w:t xml:space="preserve">לפני ערעור על החלטת בית המשפט לענייני משפחה </w:t>
      </w:r>
      <w:r>
        <w:rPr>
          <w:rFonts w:hint="cs"/>
          <w:rtl/>
        </w:rPr>
        <w:t>בקריות</w:t>
      </w:r>
      <w:r>
        <w:rPr>
          <w:rtl/>
        </w:rPr>
        <w:t xml:space="preserve"> (כב' השופט</w:t>
      </w:r>
      <w:r>
        <w:rPr>
          <w:rFonts w:hint="cs"/>
          <w:rtl/>
        </w:rPr>
        <w:t>ת גילה ספרא ברנע)</w:t>
      </w:r>
      <w:r>
        <w:rPr>
          <w:rtl/>
        </w:rPr>
        <w:t xml:space="preserve"> בתיק </w:t>
      </w:r>
      <w:r>
        <w:rPr>
          <w:rFonts w:hint="cs"/>
          <w:rtl/>
        </w:rPr>
        <w:t>י"ס</w:t>
      </w:r>
      <w:r>
        <w:rPr>
          <w:rtl/>
        </w:rPr>
        <w:t xml:space="preserve"> </w:t>
      </w:r>
      <w:r>
        <w:rPr>
          <w:rFonts w:hint="cs"/>
          <w:rtl/>
        </w:rPr>
        <w:t>62477</w:t>
      </w:r>
      <w:r>
        <w:rPr>
          <w:rtl/>
        </w:rPr>
        <w:t>-</w:t>
      </w:r>
      <w:r>
        <w:rPr>
          <w:rFonts w:hint="cs"/>
          <w:rtl/>
        </w:rPr>
        <w:t>01</w:t>
      </w:r>
      <w:r>
        <w:rPr>
          <w:rtl/>
        </w:rPr>
        <w:t>-</w:t>
      </w:r>
      <w:r>
        <w:rPr>
          <w:rFonts w:hint="cs"/>
          <w:rtl/>
        </w:rPr>
        <w:t>23</w:t>
      </w:r>
      <w:r>
        <w:rPr>
          <w:rtl/>
        </w:rPr>
        <w:t xml:space="preserve"> (להלן:</w:t>
      </w:r>
      <w:r>
        <w:rPr>
          <w:rFonts w:hint="cs"/>
          <w:rtl/>
        </w:rPr>
        <w:t xml:space="preserve"> </w:t>
      </w:r>
      <w:r>
        <w:rPr>
          <w:rtl/>
        </w:rPr>
        <w:t>"</w:t>
      </w:r>
      <w:r>
        <w:rPr>
          <w:b/>
          <w:bCs/>
          <w:rtl/>
        </w:rPr>
        <w:t>התיק קמא</w:t>
      </w:r>
      <w:r>
        <w:rPr>
          <w:rtl/>
        </w:rPr>
        <w:t>"</w:t>
      </w:r>
      <w:r>
        <w:rPr>
          <w:rFonts w:hint="cs"/>
          <w:rtl/>
        </w:rPr>
        <w:t xml:space="preserve">) </w:t>
      </w:r>
      <w:r>
        <w:rPr>
          <w:rtl/>
        </w:rPr>
        <w:t xml:space="preserve">מיום </w:t>
      </w:r>
      <w:r>
        <w:rPr>
          <w:rFonts w:hint="cs"/>
          <w:rtl/>
        </w:rPr>
        <w:t xml:space="preserve">21.8.2023 </w:t>
      </w:r>
      <w:r>
        <w:rPr>
          <w:rtl/>
        </w:rPr>
        <w:t xml:space="preserve">במסגרתה </w:t>
      </w:r>
      <w:r>
        <w:rPr>
          <w:rFonts w:hint="cs"/>
          <w:rtl/>
        </w:rPr>
        <w:t>נדחתה בקשת המבקשת לבטל את צו המניעה הזמני הארעי שניתן במעמד צד אחד ביום 13.2.2023, והכל כפי שיפורט להלן.</w:t>
      </w:r>
    </w:p>
    <w:p w:rsidR="00183CF5" w:rsidRDefault="00183CF5" w:rsidP="00183CF5">
      <w:pPr>
        <w:spacing w:after="120" w:line="360" w:lineRule="auto"/>
        <w:jc w:val="both"/>
        <w:rPr>
          <w:rtl/>
        </w:rPr>
      </w:pPr>
    </w:p>
    <w:p w:rsidR="00183CF5" w:rsidRDefault="00183CF5" w:rsidP="00183CF5">
      <w:pPr>
        <w:spacing w:after="120" w:line="360" w:lineRule="auto"/>
        <w:jc w:val="both"/>
        <w:rPr>
          <w:b/>
          <w:bCs/>
          <w:u w:val="single"/>
          <w:rtl/>
        </w:rPr>
      </w:pPr>
      <w:r>
        <w:rPr>
          <w:b/>
          <w:bCs/>
          <w:u w:val="single"/>
          <w:rtl/>
        </w:rPr>
        <w:t>רקע בקליפת אגוז</w:t>
      </w:r>
    </w:p>
    <w:p w:rsidR="00183CF5" w:rsidRDefault="00183CF5" w:rsidP="00183CF5">
      <w:pPr>
        <w:pStyle w:val="David"/>
        <w:spacing w:after="120"/>
        <w:ind w:left="567" w:hanging="567"/>
        <w:rPr>
          <w:rtl/>
        </w:rPr>
      </w:pPr>
      <w:r>
        <w:rPr>
          <w:rtl/>
        </w:rPr>
        <w:t>2.</w:t>
      </w:r>
      <w:r>
        <w:rPr>
          <w:rtl/>
        </w:rPr>
        <w:tab/>
      </w:r>
      <w:r>
        <w:rPr>
          <w:rFonts w:hint="cs"/>
          <w:rtl/>
        </w:rPr>
        <w:t>המבקשת והמשיב (ביחד יכונו "</w:t>
      </w:r>
      <w:r w:rsidRPr="009D05D0">
        <w:rPr>
          <w:rFonts w:hint="cs"/>
          <w:b/>
          <w:bCs/>
          <w:rtl/>
        </w:rPr>
        <w:t>הצדדים</w:t>
      </w:r>
      <w:r>
        <w:rPr>
          <w:rFonts w:hint="cs"/>
          <w:rtl/>
        </w:rPr>
        <w:t>")</w:t>
      </w:r>
      <w:r>
        <w:rPr>
          <w:rtl/>
        </w:rPr>
        <w:t xml:space="preserve"> </w:t>
      </w:r>
      <w:r>
        <w:rPr>
          <w:rFonts w:hint="cs"/>
          <w:rtl/>
        </w:rPr>
        <w:t xml:space="preserve">היו נשואים זל"ז והורים לילדים, חלקם קטינים. הצדדים התגרשו ולאחר מכן נישאו שוב, </w:t>
      </w:r>
      <w:r>
        <w:rPr>
          <w:rtl/>
        </w:rPr>
        <w:t xml:space="preserve">אך לאחר שנתגלע סכסוך ביניהם יצא </w:t>
      </w:r>
      <w:r>
        <w:rPr>
          <w:rFonts w:hint="cs"/>
          <w:rtl/>
        </w:rPr>
        <w:t xml:space="preserve">המשיב </w:t>
      </w:r>
      <w:r>
        <w:rPr>
          <w:rtl/>
        </w:rPr>
        <w:t xml:space="preserve">את הבית בשנת 2020, ועבר להתגורר במקום אחר. </w:t>
      </w:r>
    </w:p>
    <w:p w:rsidR="00183CF5" w:rsidRDefault="00183CF5" w:rsidP="007D3A8F">
      <w:pPr>
        <w:pStyle w:val="David"/>
        <w:spacing w:after="120"/>
        <w:ind w:left="567" w:hanging="567"/>
        <w:rPr>
          <w:rtl/>
        </w:rPr>
      </w:pPr>
      <w:r>
        <w:rPr>
          <w:rFonts w:hint="cs"/>
          <w:rtl/>
        </w:rPr>
        <w:t>3.</w:t>
      </w:r>
      <w:r>
        <w:rPr>
          <w:rFonts w:hint="cs"/>
          <w:rtl/>
        </w:rPr>
        <w:tab/>
        <w:t>המבקשת נפטרה למרבה הצער ביום 17.6.202</w:t>
      </w:r>
      <w:r w:rsidR="007D3A8F">
        <w:rPr>
          <w:rFonts w:hint="cs"/>
          <w:rtl/>
        </w:rPr>
        <w:t>3. אחותה, גב' פ. כ</w:t>
      </w:r>
      <w:r>
        <w:rPr>
          <w:rFonts w:hint="cs"/>
          <w:rtl/>
        </w:rPr>
        <w:t xml:space="preserve"> (להלן: "</w:t>
      </w:r>
      <w:r w:rsidR="007D3A8F">
        <w:rPr>
          <w:rFonts w:hint="cs"/>
          <w:b/>
          <w:bCs/>
          <w:rtl/>
        </w:rPr>
        <w:t xml:space="preserve">פ' </w:t>
      </w:r>
      <w:r>
        <w:rPr>
          <w:rFonts w:hint="cs"/>
          <w:rtl/>
        </w:rPr>
        <w:t>") ממשיכה את ההליכים במקומה, בהיותה יורשתה לכאורה לפי צוואה (לא הוצג צו קיום צוואה).</w:t>
      </w:r>
    </w:p>
    <w:p w:rsidR="00183CF5" w:rsidRDefault="00183CF5" w:rsidP="007D3A8F">
      <w:pPr>
        <w:pStyle w:val="David"/>
        <w:spacing w:after="120"/>
        <w:ind w:left="567" w:hanging="567"/>
        <w:rPr>
          <w:rtl/>
        </w:rPr>
      </w:pPr>
      <w:r>
        <w:rPr>
          <w:rFonts w:hint="cs"/>
          <w:rtl/>
        </w:rPr>
        <w:t>4.</w:t>
      </w:r>
      <w:r>
        <w:rPr>
          <w:rFonts w:hint="cs"/>
          <w:rtl/>
        </w:rPr>
        <w:tab/>
        <w:t>המשיב פתח את ההליך קמא, בקשה ליישוב סכסוך, ביום 25.1.2023 וביום 30.1.2023 הגיש בקשה לצו מניעה במעמד צד אחד. ביום 13.2.2023 נעתר בית משפט קמא לבקשה, ונתן</w:t>
      </w:r>
      <w:r w:rsidRPr="00242210">
        <w:rPr>
          <w:rtl/>
        </w:rPr>
        <w:t xml:space="preserve"> צו המורה </w:t>
      </w:r>
      <w:r>
        <w:rPr>
          <w:rFonts w:hint="cs"/>
          <w:rtl/>
        </w:rPr>
        <w:t>למבקשת (כאן)</w:t>
      </w:r>
      <w:r w:rsidRPr="00242210">
        <w:rPr>
          <w:rtl/>
        </w:rPr>
        <w:t xml:space="preserve"> להימנע, בעצמה או באמצעות מי מטעמה, מלבצע כל שינוי במצב זכויות הצדדים במקרקעין</w:t>
      </w:r>
      <w:r>
        <w:rPr>
          <w:rFonts w:hint="cs"/>
          <w:rtl/>
        </w:rPr>
        <w:t xml:space="preserve"> הידועים כחלקה </w:t>
      </w:r>
      <w:r w:rsidR="007D3A8F">
        <w:rPr>
          <w:rFonts w:hint="cs"/>
          <w:rtl/>
        </w:rPr>
        <w:t>..</w:t>
      </w:r>
      <w:r>
        <w:rPr>
          <w:rFonts w:hint="cs"/>
          <w:rtl/>
        </w:rPr>
        <w:t xml:space="preserve"> בגוש </w:t>
      </w:r>
      <w:r w:rsidR="007D3A8F">
        <w:rPr>
          <w:rFonts w:hint="cs"/>
          <w:rtl/>
        </w:rPr>
        <w:t xml:space="preserve">..... בישוב .... </w:t>
      </w:r>
      <w:r>
        <w:rPr>
          <w:rFonts w:hint="cs"/>
          <w:rtl/>
        </w:rPr>
        <w:t>(להלן: "</w:t>
      </w:r>
      <w:r w:rsidRPr="00242210">
        <w:rPr>
          <w:rFonts w:hint="cs"/>
          <w:b/>
          <w:bCs/>
          <w:rtl/>
        </w:rPr>
        <w:t>המקרקעין</w:t>
      </w:r>
      <w:r>
        <w:rPr>
          <w:rFonts w:hint="cs"/>
          <w:rtl/>
        </w:rPr>
        <w:t xml:space="preserve">"). </w:t>
      </w:r>
    </w:p>
    <w:p w:rsidR="00183CF5" w:rsidRDefault="00183CF5" w:rsidP="00183CF5">
      <w:pPr>
        <w:pStyle w:val="David"/>
        <w:spacing w:after="120"/>
        <w:ind w:left="567" w:hanging="567"/>
        <w:rPr>
          <w:rtl/>
        </w:rPr>
      </w:pPr>
      <w:r>
        <w:rPr>
          <w:rFonts w:hint="cs"/>
          <w:rtl/>
        </w:rPr>
        <w:t>5.</w:t>
      </w:r>
      <w:r>
        <w:rPr>
          <w:rFonts w:hint="cs"/>
          <w:rtl/>
        </w:rPr>
        <w:tab/>
        <w:t>כעולה מכתבי הטענות והתיק קמא, שטח המקרקעין עומד על כ- 1,099 מ"ר. על המקרקעין בנוי בית מגורים בשטח קרקע של 122 מ"ר (להלן: "</w:t>
      </w:r>
      <w:r w:rsidRPr="00DB6ED6">
        <w:rPr>
          <w:rFonts w:hint="cs"/>
          <w:b/>
          <w:bCs/>
          <w:rtl/>
        </w:rPr>
        <w:t>הבית</w:t>
      </w:r>
      <w:r>
        <w:rPr>
          <w:rFonts w:hint="cs"/>
          <w:rtl/>
        </w:rPr>
        <w:t xml:space="preserve">"). </w:t>
      </w:r>
    </w:p>
    <w:p w:rsidR="00183CF5" w:rsidRDefault="00183CF5" w:rsidP="007D3A8F">
      <w:pPr>
        <w:pStyle w:val="David"/>
        <w:spacing w:after="120"/>
        <w:ind w:left="567" w:hanging="567"/>
        <w:rPr>
          <w:rtl/>
        </w:rPr>
      </w:pPr>
      <w:r>
        <w:rPr>
          <w:rtl/>
        </w:rPr>
        <w:tab/>
      </w:r>
      <w:r>
        <w:rPr>
          <w:rFonts w:hint="cs"/>
          <w:rtl/>
        </w:rPr>
        <w:t xml:space="preserve">עד לפטירת המבקשת, היא התגוררה בבית </w:t>
      </w:r>
      <w:r w:rsidR="007D3A8F">
        <w:rPr>
          <w:rFonts w:hint="cs"/>
          <w:rtl/>
        </w:rPr>
        <w:t xml:space="preserve">עם בנותיה הקטינות, ואחות המבקשת, פ', </w:t>
      </w:r>
      <w:r>
        <w:rPr>
          <w:rFonts w:hint="cs"/>
          <w:rtl/>
        </w:rPr>
        <w:t xml:space="preserve">סעדה בבית את המבקשת עד פטירתה. המשיב כאמור לא התגורר בבית אלא במקום אחר. </w:t>
      </w:r>
    </w:p>
    <w:p w:rsidR="00183CF5" w:rsidRDefault="00183CF5" w:rsidP="007D3A8F">
      <w:pPr>
        <w:pStyle w:val="David"/>
        <w:spacing w:after="120"/>
        <w:ind w:left="567" w:hanging="567"/>
        <w:rPr>
          <w:rtl/>
        </w:rPr>
      </w:pPr>
      <w:r>
        <w:rPr>
          <w:rtl/>
        </w:rPr>
        <w:lastRenderedPageBreak/>
        <w:tab/>
      </w:r>
      <w:r>
        <w:rPr>
          <w:rFonts w:hint="cs"/>
          <w:rtl/>
        </w:rPr>
        <w:t xml:space="preserve">כעת </w:t>
      </w:r>
      <w:r w:rsidR="007D3A8F">
        <w:rPr>
          <w:rFonts w:hint="cs"/>
          <w:rtl/>
        </w:rPr>
        <w:t>פ'</w:t>
      </w:r>
      <w:r>
        <w:rPr>
          <w:rFonts w:hint="cs"/>
          <w:rtl/>
        </w:rPr>
        <w:t xml:space="preserve"> מתגוררת בבית עם בנותיהן הקטינות של הצדדים.</w:t>
      </w:r>
    </w:p>
    <w:p w:rsidR="00183CF5" w:rsidRDefault="00183CF5" w:rsidP="007D3A8F">
      <w:pPr>
        <w:pStyle w:val="David"/>
        <w:spacing w:after="120"/>
        <w:ind w:left="567" w:hanging="567"/>
        <w:rPr>
          <w:rtl/>
        </w:rPr>
      </w:pPr>
      <w:r>
        <w:rPr>
          <w:rFonts w:hint="cs"/>
          <w:rtl/>
        </w:rPr>
        <w:t>6.</w:t>
      </w:r>
      <w:r>
        <w:rPr>
          <w:rFonts w:hint="cs"/>
          <w:rtl/>
        </w:rPr>
        <w:tab/>
        <w:t>ב</w:t>
      </w:r>
      <w:r>
        <w:rPr>
          <w:rtl/>
        </w:rPr>
        <w:t xml:space="preserve">בקשה לצו </w:t>
      </w:r>
      <w:r>
        <w:rPr>
          <w:rFonts w:hint="cs"/>
          <w:rtl/>
        </w:rPr>
        <w:t>ה</w:t>
      </w:r>
      <w:r>
        <w:rPr>
          <w:rtl/>
        </w:rPr>
        <w:t>מניעה</w:t>
      </w:r>
      <w:r>
        <w:rPr>
          <w:rFonts w:hint="cs"/>
          <w:rtl/>
        </w:rPr>
        <w:t xml:space="preserve"> טען המשיב,</w:t>
      </w:r>
      <w:r>
        <w:rPr>
          <w:rtl/>
        </w:rPr>
        <w:t xml:space="preserve"> וצירף מסמכים</w:t>
      </w:r>
      <w:r>
        <w:rPr>
          <w:rFonts w:hint="cs"/>
          <w:rtl/>
        </w:rPr>
        <w:t xml:space="preserve"> </w:t>
      </w:r>
      <w:r>
        <w:rPr>
          <w:rtl/>
        </w:rPr>
        <w:t xml:space="preserve">המעידים לכאורה </w:t>
      </w:r>
      <w:r>
        <w:rPr>
          <w:rFonts w:hint="cs"/>
          <w:rtl/>
        </w:rPr>
        <w:t>כי</w:t>
      </w:r>
      <w:r>
        <w:rPr>
          <w:rtl/>
        </w:rPr>
        <w:t xml:space="preserve"> הבית</w:t>
      </w:r>
      <w:r>
        <w:rPr>
          <w:rFonts w:hint="cs"/>
          <w:rtl/>
        </w:rPr>
        <w:t xml:space="preserve"> נבנה</w:t>
      </w:r>
      <w:r>
        <w:rPr>
          <w:rtl/>
        </w:rPr>
        <w:t xml:space="preserve"> במהלך החיים המשותפים</w:t>
      </w:r>
      <w:r>
        <w:rPr>
          <w:rFonts w:hint="cs"/>
          <w:rtl/>
        </w:rPr>
        <w:t xml:space="preserve"> שלו עם המבקשת,</w:t>
      </w:r>
      <w:r>
        <w:rPr>
          <w:rtl/>
        </w:rPr>
        <w:t xml:space="preserve"> ו</w:t>
      </w:r>
      <w:r>
        <w:rPr>
          <w:rFonts w:hint="cs"/>
          <w:rtl/>
        </w:rPr>
        <w:t xml:space="preserve">על </w:t>
      </w:r>
      <w:r>
        <w:rPr>
          <w:rtl/>
        </w:rPr>
        <w:t>השקעה שלו בכסף ועבודה.</w:t>
      </w:r>
      <w:r>
        <w:rPr>
          <w:rFonts w:hint="cs"/>
          <w:rtl/>
        </w:rPr>
        <w:t xml:space="preserve"> כאמור בהחלטה קמא,</w:t>
      </w:r>
      <w:r>
        <w:rPr>
          <w:rtl/>
        </w:rPr>
        <w:t xml:space="preserve"> </w:t>
      </w:r>
      <w:r>
        <w:rPr>
          <w:rFonts w:hint="cs"/>
          <w:rtl/>
        </w:rPr>
        <w:t>המבקשת</w:t>
      </w:r>
      <w:r>
        <w:rPr>
          <w:rtl/>
        </w:rPr>
        <w:t xml:space="preserve"> בחייה דחתה את טענותיו, והביאה ראיות להשקעה שלה בבנייה, </w:t>
      </w:r>
      <w:r>
        <w:rPr>
          <w:rFonts w:hint="cs"/>
          <w:rtl/>
        </w:rPr>
        <w:t>ו</w:t>
      </w:r>
      <w:r>
        <w:rPr>
          <w:rtl/>
        </w:rPr>
        <w:t>אף הציגה כי הקרקע נרשמה על שמה בלשכת רישום המקרקעין מכח ירושה</w:t>
      </w:r>
      <w:r>
        <w:rPr>
          <w:rFonts w:hint="cs"/>
          <w:rtl/>
        </w:rPr>
        <w:t xml:space="preserve"> </w:t>
      </w:r>
      <w:r>
        <w:rPr>
          <w:rtl/>
        </w:rPr>
        <w:t xml:space="preserve">בשנת 2022. </w:t>
      </w:r>
      <w:r>
        <w:rPr>
          <w:rFonts w:hint="cs"/>
          <w:rtl/>
        </w:rPr>
        <w:t>המבקשת</w:t>
      </w:r>
      <w:r>
        <w:rPr>
          <w:rtl/>
        </w:rPr>
        <w:t xml:space="preserve"> גם טענה לשיהוי בהגשת הבקש</w:t>
      </w:r>
      <w:r>
        <w:rPr>
          <w:rFonts w:hint="cs"/>
          <w:rtl/>
        </w:rPr>
        <w:t xml:space="preserve">ה, וכן </w:t>
      </w:r>
      <w:r>
        <w:rPr>
          <w:rtl/>
        </w:rPr>
        <w:t>טענה כי החלה בבניה משנת 2012, ובנתה אותו – שלוש קומות – בשלבים בעזרת אחיה והלוואה, שנטלה ובהמשך במכירת קרקע אחרת, בשיתוף אחותה</w:t>
      </w:r>
      <w:r>
        <w:rPr>
          <w:rFonts w:hint="cs"/>
          <w:rtl/>
        </w:rPr>
        <w:t xml:space="preserve"> </w:t>
      </w:r>
      <w:r w:rsidR="007D3A8F">
        <w:rPr>
          <w:rFonts w:hint="cs"/>
          <w:rtl/>
        </w:rPr>
        <w:t>פ'</w:t>
      </w:r>
      <w:r>
        <w:rPr>
          <w:rtl/>
        </w:rPr>
        <w:t>.</w:t>
      </w:r>
    </w:p>
    <w:p w:rsidR="00183CF5" w:rsidRDefault="00183CF5" w:rsidP="00183CF5">
      <w:pPr>
        <w:pStyle w:val="David"/>
        <w:spacing w:after="120"/>
        <w:ind w:left="567" w:hanging="567"/>
        <w:rPr>
          <w:rtl/>
        </w:rPr>
      </w:pPr>
      <w:r>
        <w:rPr>
          <w:rFonts w:hint="cs"/>
          <w:rtl/>
        </w:rPr>
        <w:t>7.</w:t>
      </w:r>
      <w:r>
        <w:rPr>
          <w:rFonts w:hint="cs"/>
          <w:rtl/>
        </w:rPr>
        <w:tab/>
        <w:t xml:space="preserve">ביני לביני, </w:t>
      </w:r>
      <w:r>
        <w:rPr>
          <w:rtl/>
        </w:rPr>
        <w:t xml:space="preserve">עיכוב ההליכים בתיק ישוב הסכסוך חלף, </w:t>
      </w:r>
      <w:r>
        <w:rPr>
          <w:rFonts w:hint="cs"/>
          <w:rtl/>
        </w:rPr>
        <w:t>והמשיב</w:t>
      </w:r>
      <w:r>
        <w:rPr>
          <w:rtl/>
        </w:rPr>
        <w:t xml:space="preserve"> הגיש תביעה רכושית (תלה"מ 20714-06-23), בין השאר להצהרה על זכותו במחצית הזכויות בבית מושא המחלוקת, פירוק שיתוף ואיזון משאבים. </w:t>
      </w:r>
      <w:r>
        <w:rPr>
          <w:rFonts w:hint="cs"/>
          <w:rtl/>
        </w:rPr>
        <w:t>כפי שצוין בהחלטה קמא, בשלב זה</w:t>
      </w:r>
      <w:r>
        <w:rPr>
          <w:rtl/>
        </w:rPr>
        <w:t xml:space="preserve"> מעוכבים ההליכים בת</w:t>
      </w:r>
      <w:r>
        <w:rPr>
          <w:rFonts w:hint="cs"/>
          <w:rtl/>
        </w:rPr>
        <w:t>ביעה הרכושית</w:t>
      </w:r>
      <w:r>
        <w:rPr>
          <w:rtl/>
        </w:rPr>
        <w:t xml:space="preserve"> עקב הצורך בתיקון כתב התביעה, עקב </w:t>
      </w:r>
      <w:r>
        <w:rPr>
          <w:rFonts w:hint="cs"/>
          <w:rtl/>
        </w:rPr>
        <w:t>פטירת המבקשת</w:t>
      </w:r>
      <w:r>
        <w:rPr>
          <w:rtl/>
        </w:rPr>
        <w:t>.</w:t>
      </w:r>
    </w:p>
    <w:p w:rsidR="00183CF5" w:rsidRDefault="00183CF5" w:rsidP="007D3A8F">
      <w:pPr>
        <w:pStyle w:val="David"/>
        <w:spacing w:after="120"/>
        <w:ind w:left="567" w:hanging="567"/>
        <w:rPr>
          <w:rtl/>
        </w:rPr>
      </w:pPr>
      <w:r>
        <w:rPr>
          <w:rFonts w:hint="cs"/>
          <w:rtl/>
        </w:rPr>
        <w:t>8.</w:t>
      </w:r>
      <w:r>
        <w:rPr>
          <w:rFonts w:hint="cs"/>
          <w:rtl/>
        </w:rPr>
        <w:tab/>
      </w:r>
      <w:r>
        <w:rPr>
          <w:rtl/>
        </w:rPr>
        <w:t xml:space="preserve">הליכים </w:t>
      </w:r>
      <w:r>
        <w:rPr>
          <w:rFonts w:hint="cs"/>
          <w:rtl/>
        </w:rPr>
        <w:t xml:space="preserve">נוספים נפתחו </w:t>
      </w:r>
      <w:r>
        <w:rPr>
          <w:rtl/>
        </w:rPr>
        <w:t xml:space="preserve">בין </w:t>
      </w:r>
      <w:r>
        <w:rPr>
          <w:rFonts w:hint="cs"/>
          <w:rtl/>
        </w:rPr>
        <w:t>המשיב</w:t>
      </w:r>
      <w:r>
        <w:rPr>
          <w:rtl/>
        </w:rPr>
        <w:t xml:space="preserve"> כאן </w:t>
      </w:r>
      <w:r w:rsidR="007D3A8F">
        <w:rPr>
          <w:rFonts w:hint="cs"/>
          <w:rtl/>
        </w:rPr>
        <w:t>ל-פ'</w:t>
      </w:r>
      <w:r>
        <w:rPr>
          <w:rtl/>
        </w:rPr>
        <w:t xml:space="preserve">, אחותה של </w:t>
      </w:r>
      <w:r>
        <w:rPr>
          <w:rFonts w:hint="cs"/>
          <w:rtl/>
        </w:rPr>
        <w:t xml:space="preserve">המבקשת, שכאמור </w:t>
      </w:r>
      <w:r>
        <w:rPr>
          <w:rtl/>
        </w:rPr>
        <w:t>מחזיקה כיום בבית, בו גרות גם הקטינות, בנות הצדדים (תביעת פינוי, תמ"ש 38611-07-23, צו הגנה, ה"ט 48135-06-23 וערעור על פסק הדין בתיק צו ההגנה, עמ"ש 41338-07-23).</w:t>
      </w:r>
    </w:p>
    <w:p w:rsidR="00183CF5" w:rsidRDefault="00183CF5" w:rsidP="00183CF5">
      <w:pPr>
        <w:spacing w:after="120" w:line="360" w:lineRule="auto"/>
        <w:ind w:left="567" w:hanging="567"/>
        <w:jc w:val="both"/>
        <w:rPr>
          <w:rtl/>
        </w:rPr>
      </w:pPr>
      <w:r>
        <w:rPr>
          <w:rFonts w:hint="cs"/>
          <w:rtl/>
        </w:rPr>
        <w:t>9.</w:t>
      </w:r>
      <w:r>
        <w:rPr>
          <w:rtl/>
        </w:rPr>
        <w:tab/>
      </w:r>
      <w:r>
        <w:rPr>
          <w:rFonts w:hint="cs"/>
          <w:rtl/>
        </w:rPr>
        <w:t>ביום 5.6.2023 התקיים דיון בבקשת צו המניעה בתיק קמא. בדיון טען המשיב כי</w:t>
      </w:r>
      <w:r w:rsidRPr="000928C1">
        <w:rPr>
          <w:rFonts w:hint="cs"/>
          <w:rtl/>
        </w:rPr>
        <w:t xml:space="preserve"> </w:t>
      </w:r>
      <w:r>
        <w:rPr>
          <w:rFonts w:hint="cs"/>
          <w:rtl/>
        </w:rPr>
        <w:t>מוסכם מבחינתו לצמצם את הצו על שטח יותר קטן. שטח הבית והשטח המינימלי שמסביבו. לטענתו, המבקשת הודתה כי מכרה כבר חלק מהקרקע, וקיים סיכוי גם למכור את הבניין. לכן, לא נגרם לה כל נזק עקב מתן הצו; לדידו, ביטול הצו יכול לפגוע בזכויות המשיב ולסכל ביצוע כל פסק דין שיינתן בעתיד. לכן ביקש להשאיר את הצו על כנו.</w:t>
      </w:r>
    </w:p>
    <w:p w:rsidR="00183CF5" w:rsidRDefault="00183CF5" w:rsidP="00183CF5">
      <w:pPr>
        <w:pStyle w:val="David"/>
        <w:spacing w:after="120"/>
        <w:ind w:left="567" w:hanging="567"/>
        <w:rPr>
          <w:rtl/>
        </w:rPr>
      </w:pPr>
      <w:r>
        <w:rPr>
          <w:rtl/>
        </w:rPr>
        <w:tab/>
      </w:r>
      <w:r>
        <w:rPr>
          <w:rFonts w:hint="cs"/>
          <w:rtl/>
        </w:rPr>
        <w:t xml:space="preserve">המבקשת טענה כי הבקשה צריכה להידחות מכמה טעמים. המשיב לא גילה בבקשה הראשונית שהוא הגיש, כי המקרקעין והזכויות ע"ש המבקשת התקבלו בירושה, כפי שעולה מנסח הרישום שהוא הגיש. כמו כן המשיב הגיש את הבקשה בחוסר תום לב שעה שהוא ביקש וקיבל צו מניעה על כל הזכויות המבקשת במקרקעין, הרבה יותר מעבר לשטח המחלוקת שהוא טוען לה </w:t>
      </w:r>
      <w:r>
        <w:rPr>
          <w:rtl/>
        </w:rPr>
        <w:t>–</w:t>
      </w:r>
      <w:r>
        <w:rPr>
          <w:rFonts w:hint="cs"/>
          <w:rtl/>
        </w:rPr>
        <w:t xml:space="preserve"> קומת מגורים וקרקע בשטח של 120 מ"ר בלבד (ובבית יש עוד 2 קומות). עוד לטענת המבקשת, היא לא התכוונה ולא מתכוונת למכור את הזכויות בבית כיוון שזה בית מגוריה ומגורי בנותיה, היא שילמה ומימנה את כל הבניה. לכן ביקשה לבטל את צו המניעה באופן גורף.</w:t>
      </w:r>
    </w:p>
    <w:p w:rsidR="00183CF5" w:rsidRDefault="00183CF5" w:rsidP="00183CF5">
      <w:pPr>
        <w:pStyle w:val="David"/>
        <w:spacing w:after="120"/>
        <w:ind w:left="567" w:hanging="567"/>
        <w:rPr>
          <w:rtl/>
        </w:rPr>
      </w:pPr>
      <w:r>
        <w:rPr>
          <w:rFonts w:hint="cs"/>
          <w:rtl/>
        </w:rPr>
        <w:t>10.</w:t>
      </w:r>
      <w:r>
        <w:rPr>
          <w:rFonts w:hint="cs"/>
          <w:rtl/>
        </w:rPr>
        <w:tab/>
        <w:t>בהחלטה קמא בבקשת צו המניעה שניתנה ביום 21.8.23, הוחלט כי "</w:t>
      </w:r>
      <w:r w:rsidRPr="00647947">
        <w:rPr>
          <w:b/>
          <w:bCs/>
          <w:rtl/>
        </w:rPr>
        <w:t>בנסיבות העניין, ומבלי לקבוע ממצא באיזו מטענות הצדדים בהליך לפניי, אני מוצאת כי הנסיבות החריגות מצדיקות השארת הצו על כנו עד לבירור התביעה העיקרית, תיק תמ"ש 20714-06-23</w:t>
      </w:r>
      <w:r>
        <w:rPr>
          <w:rFonts w:hint="cs"/>
          <w:rtl/>
        </w:rPr>
        <w:t>"</w:t>
      </w:r>
      <w:r w:rsidRPr="00647947">
        <w:rPr>
          <w:rtl/>
        </w:rPr>
        <w:t>.</w:t>
      </w:r>
    </w:p>
    <w:p w:rsidR="00183CF5" w:rsidRDefault="00183CF5" w:rsidP="00183CF5">
      <w:pPr>
        <w:pStyle w:val="David"/>
        <w:spacing w:after="120"/>
        <w:ind w:left="567" w:hanging="567"/>
        <w:rPr>
          <w:rtl/>
        </w:rPr>
      </w:pPr>
      <w:r>
        <w:rPr>
          <w:rFonts w:hint="cs"/>
          <w:rtl/>
        </w:rPr>
        <w:t>11.</w:t>
      </w:r>
      <w:r>
        <w:rPr>
          <w:rFonts w:hint="cs"/>
          <w:rtl/>
        </w:rPr>
        <w:tab/>
        <w:t>נימקה השופטת קמא בהחלטתה, כי "</w:t>
      </w:r>
      <w:r w:rsidRPr="00686148">
        <w:rPr>
          <w:b/>
          <w:bCs/>
          <w:rtl/>
        </w:rPr>
        <w:t xml:space="preserve">מהבקשה והתגובה נמצא כי המשיבה (כמו גם אחותה) העבירה חלקים בזכויותיה במקרקעין לאחר, לפי הסכם מיום 11/6/21, הערת אזהרה שנרשמה רק ביום 3/5/22, ובכך מתקיימת דרישת ההכבדה. כמו כן ישנן שתי הערות אזהרה נוספות משנת 2016, על זכויות כל </w:t>
      </w:r>
      <w:r w:rsidRPr="00686148">
        <w:rPr>
          <w:b/>
          <w:bCs/>
          <w:rtl/>
        </w:rPr>
        <w:lastRenderedPageBreak/>
        <w:t>היורשים, אשר לא הוברר איזה זכויות הועברו מכוחן. עסקאות אלה לא נבחנו לעומק, לא ידוע האם דווחו לרשויות המס, ונראה כי לא הועברה חזקה</w:t>
      </w:r>
      <w:r>
        <w:rPr>
          <w:rFonts w:hint="cs"/>
          <w:rtl/>
        </w:rPr>
        <w:t>"</w:t>
      </w:r>
      <w:r>
        <w:rPr>
          <w:rtl/>
        </w:rPr>
        <w:t>.</w:t>
      </w:r>
    </w:p>
    <w:p w:rsidR="00183CF5" w:rsidRDefault="00183CF5" w:rsidP="00183CF5">
      <w:pPr>
        <w:pStyle w:val="David"/>
        <w:spacing w:after="120"/>
        <w:ind w:left="567" w:hanging="567"/>
        <w:rPr>
          <w:rtl/>
        </w:rPr>
      </w:pPr>
      <w:r>
        <w:rPr>
          <w:rtl/>
        </w:rPr>
        <w:tab/>
      </w:r>
      <w:r>
        <w:rPr>
          <w:rFonts w:hint="cs"/>
          <w:rtl/>
        </w:rPr>
        <w:t>כן הוסיפה כי "</w:t>
      </w:r>
      <w:r w:rsidRPr="00F5371A">
        <w:rPr>
          <w:rFonts w:ascii="David" w:hAnsi="David"/>
          <w:b/>
          <w:bCs/>
          <w:rtl/>
        </w:rPr>
        <w:t>לא מצאתי לנכון להחריג חלק מהבניין מצו המניעה, בהינתן כי לא התרשמתי כי מדובר ביחידות הניתנות להפרדה, או כי השימוש באיזה מהיחידות הופרד. מנסח הרישום לא ניתן ללמוד כי החלק שנמכר בשטח 839 מ"ר לכאורה הינו חלק מסויים מהבניין, אשר לפי כל הגרסאות היה כבר בנוי בעת העיסקה</w:t>
      </w:r>
      <w:r>
        <w:rPr>
          <w:rFonts w:ascii="David" w:hAnsi="David" w:hint="cs"/>
          <w:rtl/>
        </w:rPr>
        <w:t>"</w:t>
      </w:r>
      <w:r>
        <w:rPr>
          <w:rFonts w:ascii="David" w:hAnsi="David"/>
          <w:rtl/>
        </w:rPr>
        <w:t xml:space="preserve">. </w:t>
      </w:r>
    </w:p>
    <w:p w:rsidR="00183CF5" w:rsidRDefault="00183CF5" w:rsidP="00183CF5">
      <w:pPr>
        <w:pStyle w:val="David"/>
        <w:spacing w:after="120"/>
        <w:ind w:left="567" w:hanging="567"/>
        <w:rPr>
          <w:rtl/>
        </w:rPr>
      </w:pPr>
      <w:r>
        <w:rPr>
          <w:rtl/>
        </w:rPr>
        <w:tab/>
      </w:r>
      <w:r>
        <w:rPr>
          <w:rFonts w:hint="cs"/>
          <w:rtl/>
        </w:rPr>
        <w:t>בגין החלטה זו הוגשה בקשת רשות הערעור דנן.</w:t>
      </w:r>
    </w:p>
    <w:p w:rsidR="00183CF5" w:rsidRDefault="00183CF5" w:rsidP="00183CF5">
      <w:pPr>
        <w:spacing w:after="120" w:line="360" w:lineRule="auto"/>
        <w:jc w:val="both"/>
        <w:rPr>
          <w:rtl/>
        </w:rPr>
      </w:pPr>
    </w:p>
    <w:p w:rsidR="00183CF5" w:rsidRDefault="00183CF5" w:rsidP="00183CF5">
      <w:pPr>
        <w:spacing w:after="120" w:line="360" w:lineRule="auto"/>
        <w:jc w:val="both"/>
        <w:rPr>
          <w:b/>
          <w:bCs/>
          <w:u w:val="single"/>
          <w:rtl/>
        </w:rPr>
      </w:pPr>
      <w:r>
        <w:rPr>
          <w:b/>
          <w:bCs/>
          <w:u w:val="single"/>
          <w:rtl/>
        </w:rPr>
        <w:t>טענות המ</w:t>
      </w:r>
      <w:r>
        <w:rPr>
          <w:rFonts w:hint="cs"/>
          <w:b/>
          <w:bCs/>
          <w:u w:val="single"/>
          <w:rtl/>
        </w:rPr>
        <w:t>בקשת בבקשת רשות הערעור</w:t>
      </w:r>
    </w:p>
    <w:p w:rsidR="00183CF5" w:rsidRDefault="00183CF5" w:rsidP="00183CF5">
      <w:pPr>
        <w:spacing w:after="120" w:line="360" w:lineRule="auto"/>
        <w:ind w:left="567" w:hanging="567"/>
        <w:jc w:val="both"/>
        <w:rPr>
          <w:rtl/>
        </w:rPr>
      </w:pPr>
      <w:r>
        <w:rPr>
          <w:rFonts w:hint="cs"/>
          <w:rtl/>
        </w:rPr>
        <w:t>12</w:t>
      </w:r>
      <w:r>
        <w:rPr>
          <w:rtl/>
        </w:rPr>
        <w:t>.</w:t>
      </w:r>
      <w:r>
        <w:rPr>
          <w:rtl/>
        </w:rPr>
        <w:tab/>
      </w:r>
      <w:r>
        <w:rPr>
          <w:rFonts w:hint="cs"/>
          <w:u w:val="single"/>
          <w:rtl/>
        </w:rPr>
        <w:t>להלן תמצית טענות המבקשת בבקשת רשות הערעור</w:t>
      </w:r>
      <w:r>
        <w:rPr>
          <w:rFonts w:hint="cs"/>
          <w:rtl/>
        </w:rPr>
        <w:t>:</w:t>
      </w:r>
    </w:p>
    <w:p w:rsidR="00183CF5" w:rsidRDefault="00183CF5" w:rsidP="00BD5286">
      <w:pPr>
        <w:spacing w:after="120" w:line="360" w:lineRule="auto"/>
        <w:ind w:left="1275" w:hanging="567"/>
        <w:jc w:val="both"/>
        <w:rPr>
          <w:rtl/>
        </w:rPr>
      </w:pPr>
      <w:r>
        <w:rPr>
          <w:rFonts w:hint="cs"/>
          <w:rtl/>
        </w:rPr>
        <w:t>א.</w:t>
      </w:r>
      <w:r>
        <w:rPr>
          <w:rFonts w:hint="cs"/>
          <w:rtl/>
        </w:rPr>
        <w:tab/>
        <w:t xml:space="preserve">בית משפט קמא טעה בהחלטה קמא, עת קבע כי צו המניעה יחול על כלל זכויות המנוחה במקרקעין, תוך התעלמות מוחלטת מהעובדה כי הבית קיים על חלק קטן מהמקרקעין, וכן התעלמות מהעובדה כי המבקשת ואחותה </w:t>
      </w:r>
      <w:r w:rsidR="00BD5286">
        <w:rPr>
          <w:rFonts w:hint="cs"/>
          <w:rtl/>
        </w:rPr>
        <w:t>פ'</w:t>
      </w:r>
      <w:r>
        <w:rPr>
          <w:rFonts w:hint="cs"/>
          <w:rtl/>
        </w:rPr>
        <w:t xml:space="preserve"> מכרו לצד ג', עוד טרם הוגשה הבקשה לצו מניעה, שטח כולל של 840 מ"ר מהמקרקעין.</w:t>
      </w:r>
    </w:p>
    <w:p w:rsidR="00183CF5" w:rsidRDefault="00183CF5" w:rsidP="00183CF5">
      <w:pPr>
        <w:spacing w:after="120" w:line="360" w:lineRule="auto"/>
        <w:ind w:left="1275" w:hanging="567"/>
        <w:jc w:val="both"/>
        <w:rPr>
          <w:rtl/>
        </w:rPr>
      </w:pPr>
      <w:r>
        <w:rPr>
          <w:rFonts w:hint="cs"/>
          <w:rtl/>
        </w:rPr>
        <w:t>ב.</w:t>
      </w:r>
      <w:r>
        <w:rPr>
          <w:rFonts w:hint="cs"/>
          <w:rtl/>
        </w:rPr>
        <w:tab/>
        <w:t xml:space="preserve">המשיב ידע כי הצו הארעי שניתן לא מידתי ואיננו נדרש, לכן אישר והסכים בתחילת הדיון קמא, לצמצם את הצו על שטח קטן יותר </w:t>
      </w:r>
      <w:r>
        <w:rPr>
          <w:rtl/>
        </w:rPr>
        <w:t>–</w:t>
      </w:r>
      <w:r>
        <w:rPr>
          <w:rFonts w:hint="cs"/>
          <w:rtl/>
        </w:rPr>
        <w:t xml:space="preserve"> שטח הבית ושטח מינימלי שמסביבו. בית משפט קמא התעלם מכך בהחלטתו קמא ולא שקל עניין זה כלל.</w:t>
      </w:r>
    </w:p>
    <w:p w:rsidR="00183CF5" w:rsidRDefault="00183CF5" w:rsidP="00183CF5">
      <w:pPr>
        <w:spacing w:after="120" w:line="360" w:lineRule="auto"/>
        <w:ind w:left="1275" w:hanging="567"/>
        <w:jc w:val="both"/>
        <w:rPr>
          <w:rtl/>
        </w:rPr>
      </w:pPr>
      <w:r>
        <w:rPr>
          <w:rFonts w:hint="cs"/>
          <w:rtl/>
        </w:rPr>
        <w:t>ג.</w:t>
      </w:r>
      <w:r>
        <w:rPr>
          <w:rFonts w:hint="cs"/>
          <w:rtl/>
        </w:rPr>
        <w:tab/>
        <w:t>המבקשת התנגדה לבקשה ולצו המניעה הארעי וביקשה לבטלו ממספר טעמים. המקרקעין רשומים על שם המבקשת והיא קיבלה אותם בירושה, ולכן לא נכנס במסגרת איזון המשאבים בין בני זוג; המבקשת הכחישה את טענת המשיב לפיה השתתף לכאורה בהוצאות בניית הבית, ובכל מקרה טענה כי מדובר בסוגיה טעונת הוכחה שיש לבררה במסגרת ההליך העיקרי, ואין היא מהווה עילה למתן צו מניעה זמני. אף אם יוכיח המשיב את טענתו, הרי זכותו תהיה כלכלית ותתבטא בכסף בלבד; טענה להשקעות בבית לא מספיקה כדי לרכוש זכויות בבית הרשום ע"ש המבקשת.</w:t>
      </w:r>
    </w:p>
    <w:p w:rsidR="00183CF5" w:rsidRDefault="00183CF5" w:rsidP="00183CF5">
      <w:pPr>
        <w:spacing w:after="120" w:line="360" w:lineRule="auto"/>
        <w:ind w:left="1275" w:hanging="567"/>
        <w:jc w:val="both"/>
        <w:rPr>
          <w:rtl/>
        </w:rPr>
      </w:pPr>
      <w:r>
        <w:rPr>
          <w:rFonts w:hint="cs"/>
          <w:rtl/>
        </w:rPr>
        <w:t>ד.</w:t>
      </w:r>
      <w:r>
        <w:rPr>
          <w:rFonts w:hint="cs"/>
          <w:rtl/>
        </w:rPr>
        <w:tab/>
        <w:t>מכר חלק מהמקרקעין, ביוני 2021 לא קשור ולא נוגע לבית, עת המשיב הגיש את בקשתו קמא רק בינואר 2023. הרישום משנת 2016 על כלל זכויות היורשים הוא עקב פרצלציה ולא קשור לסכסוך דנן כלל.</w:t>
      </w:r>
    </w:p>
    <w:p w:rsidR="00183CF5" w:rsidRDefault="00183CF5" w:rsidP="00183CF5">
      <w:pPr>
        <w:spacing w:after="120" w:line="360" w:lineRule="auto"/>
        <w:ind w:left="1275" w:hanging="567"/>
        <w:jc w:val="both"/>
        <w:rPr>
          <w:rtl/>
        </w:rPr>
      </w:pPr>
      <w:r>
        <w:rPr>
          <w:rFonts w:hint="cs"/>
          <w:rtl/>
        </w:rPr>
        <w:t>ה.</w:t>
      </w:r>
      <w:r>
        <w:rPr>
          <w:rFonts w:hint="cs"/>
          <w:rtl/>
        </w:rPr>
        <w:tab/>
        <w:t>בית משפט קמא ציין בהחלטה קמא כי לא מצא לנכון להחריג חלק מהמקרקעין מצו המניעה. נימוק זה לא מובן מאחר שאף המשיב הסכים להחרגה זו, ולכן אף אין רלוונטיות לשאלה האם מדובר ביחידות הניתנות להפרדה אם לאו.</w:t>
      </w:r>
    </w:p>
    <w:p w:rsidR="00183CF5" w:rsidRDefault="00183CF5" w:rsidP="00183CF5">
      <w:pPr>
        <w:spacing w:after="120" w:line="360" w:lineRule="auto"/>
        <w:ind w:left="1275" w:hanging="567"/>
        <w:jc w:val="both"/>
        <w:rPr>
          <w:rtl/>
        </w:rPr>
      </w:pPr>
      <w:r w:rsidRPr="00A22E9F">
        <w:rPr>
          <w:rFonts w:hint="cs"/>
          <w:rtl/>
        </w:rPr>
        <w:lastRenderedPageBreak/>
        <w:t>ו.</w:t>
      </w:r>
      <w:r w:rsidRPr="00A22E9F">
        <w:rPr>
          <w:rFonts w:hint="cs"/>
          <w:rtl/>
        </w:rPr>
        <w:tab/>
        <w:t>המשיב העלים מעיני בית משפט קמא כי הצדדים התגוררו בקומת הקרקע שבבית, ולא בכל קומות הבניין, כאשר הקומה הראשונה והשנייה היו במצב שלד עת עבר המשיב להתגורר בנפרד מהמבקשת.</w:t>
      </w:r>
    </w:p>
    <w:p w:rsidR="00183CF5" w:rsidRDefault="00183CF5" w:rsidP="00183CF5">
      <w:pPr>
        <w:spacing w:after="120" w:line="360" w:lineRule="auto"/>
        <w:ind w:left="1275" w:hanging="567"/>
        <w:jc w:val="both"/>
        <w:rPr>
          <w:rtl/>
        </w:rPr>
      </w:pPr>
      <w:r>
        <w:rPr>
          <w:rFonts w:hint="cs"/>
          <w:rtl/>
        </w:rPr>
        <w:t>ז.</w:t>
      </w:r>
      <w:r>
        <w:rPr>
          <w:rFonts w:hint="cs"/>
          <w:rtl/>
        </w:rPr>
        <w:tab/>
        <w:t xml:space="preserve">עוד העלים המשיב את העובדה כי המבקשת מכרה 420 מ"ר </w:t>
      </w:r>
      <w:r w:rsidR="00A22E9F">
        <w:rPr>
          <w:rFonts w:hint="cs"/>
          <w:rtl/>
        </w:rPr>
        <w:t>מזכויותיה במקרקעין (יחד עם פ'</w:t>
      </w:r>
      <w:r>
        <w:rPr>
          <w:rFonts w:hint="cs"/>
          <w:rtl/>
        </w:rPr>
        <w:t xml:space="preserve"> שמכרה אף היא 420 מ"ר מזכויותיה שלה), עסקה בגינה נרשמה הערת אזהרה לטובת צד ג', הרוכש, עסקה המופיעה בנסח הרישום אותו צירף המשיב לבקשתו קמא. עסקה זו לא נוגעת לזכויות בבית ונבדלת מהן, ולא ניתן להותיר את צו המניעה על כנו באופן שפוגע בזכויות צד ג'. </w:t>
      </w:r>
    </w:p>
    <w:p w:rsidR="00183CF5" w:rsidRDefault="00183CF5" w:rsidP="00183CF5">
      <w:pPr>
        <w:spacing w:after="120" w:line="360" w:lineRule="auto"/>
        <w:ind w:left="1275" w:hanging="567"/>
        <w:jc w:val="both"/>
        <w:rPr>
          <w:rtl/>
        </w:rPr>
      </w:pPr>
      <w:r>
        <w:rPr>
          <w:rFonts w:hint="cs"/>
          <w:rtl/>
        </w:rPr>
        <w:t>ח.</w:t>
      </w:r>
      <w:r>
        <w:rPr>
          <w:rFonts w:hint="cs"/>
          <w:rtl/>
        </w:rPr>
        <w:tab/>
        <w:t xml:space="preserve">בבחינת מאזן הנוחות והמידתיות בין הצדדים, יש לתת משקל לשיהוי </w:t>
      </w:r>
      <w:r>
        <w:rPr>
          <w:rtl/>
        </w:rPr>
        <w:t>–</w:t>
      </w:r>
      <w:r>
        <w:rPr>
          <w:rFonts w:hint="cs"/>
          <w:rtl/>
        </w:rPr>
        <w:t xml:space="preserve"> המשיב חי בנפרד מהמבקשת מתחילת שנת 2020, מאז התגוררה המבקשת בבית והשלימה את בנית הקומות הראשונה והשנייה, לרבות עבודות גמר, בהשקעת כסף רב ובהפיכתן לראויות למגורים. כל הזמן הזה המשיב לא פעל ולא ביקש צו מניעה. </w:t>
      </w:r>
    </w:p>
    <w:p w:rsidR="00183CF5" w:rsidRPr="00887F24" w:rsidRDefault="00183CF5" w:rsidP="00183CF5">
      <w:pPr>
        <w:spacing w:after="120" w:line="360" w:lineRule="auto"/>
        <w:ind w:left="1275" w:hanging="567"/>
        <w:jc w:val="both"/>
        <w:rPr>
          <w:rtl/>
        </w:rPr>
      </w:pPr>
      <w:r>
        <w:rPr>
          <w:rtl/>
        </w:rPr>
        <w:tab/>
      </w:r>
      <w:r>
        <w:rPr>
          <w:rFonts w:hint="cs"/>
          <w:rtl/>
        </w:rPr>
        <w:t>לעניין מאזן הנוחות, הוא נוטה לטובת המבקשת, מאחר שמתן הצו יגרום לה לנזקים עצומים נוכח השקעתה הכספית בבניית הבית ובהשבחתו. מנגד, הסיכוי שלמשיב ייגרם נזק הוא קלוש לנוכח הטענות לעיל, כמו כן המקרקעין רשומים על שם המבקשת והוא לא הניח ראיות מהימנות לכאורה להשקעתו בבית.</w:t>
      </w:r>
    </w:p>
    <w:p w:rsidR="00183CF5" w:rsidRDefault="00183CF5" w:rsidP="00183CF5">
      <w:pPr>
        <w:spacing w:after="120" w:line="360" w:lineRule="auto"/>
        <w:ind w:left="567" w:hanging="567"/>
        <w:jc w:val="both"/>
        <w:rPr>
          <w:rtl/>
        </w:rPr>
      </w:pPr>
      <w:r>
        <w:rPr>
          <w:rFonts w:hint="cs"/>
          <w:rtl/>
        </w:rPr>
        <w:t>13.</w:t>
      </w:r>
      <w:r>
        <w:rPr>
          <w:rFonts w:hint="cs"/>
          <w:rtl/>
        </w:rPr>
        <w:tab/>
      </w:r>
      <w:r w:rsidRPr="009E6BD4">
        <w:rPr>
          <w:rFonts w:hint="cs"/>
          <w:u w:val="single"/>
          <w:rtl/>
        </w:rPr>
        <w:t>ביקשתי, וקיבלתי, את תשובת המשיב לבקשת</w:t>
      </w:r>
      <w:r>
        <w:rPr>
          <w:rFonts w:hint="cs"/>
          <w:u w:val="single"/>
          <w:rtl/>
        </w:rPr>
        <w:t xml:space="preserve"> רשות הערעור. להלן תמצית טענותיו</w:t>
      </w:r>
      <w:r>
        <w:rPr>
          <w:rFonts w:hint="cs"/>
          <w:rtl/>
        </w:rPr>
        <w:t>:</w:t>
      </w:r>
    </w:p>
    <w:p w:rsidR="00183CF5" w:rsidRDefault="00183CF5" w:rsidP="00183CF5">
      <w:pPr>
        <w:spacing w:after="120" w:line="360" w:lineRule="auto"/>
        <w:ind w:left="1275" w:hanging="567"/>
        <w:jc w:val="both"/>
        <w:rPr>
          <w:rtl/>
        </w:rPr>
      </w:pPr>
      <w:r>
        <w:rPr>
          <w:rFonts w:hint="cs"/>
          <w:rtl/>
        </w:rPr>
        <w:t>א.</w:t>
      </w:r>
      <w:r>
        <w:rPr>
          <w:rFonts w:hint="cs"/>
          <w:rtl/>
        </w:rPr>
        <w:tab/>
        <w:t>הבקשה לצו מניעה הוגשה בתיק קמא על ידי המשיב כאן, נגד אשתו המבקשת כאן, שהלכה לעולמה בחודש יוני האחרון. מכאן כי המבקשת לא מהווה עוד אישיות משפטית, איננה בעלת זכות תביעה ולא יכולה לנהל הליך משפטי. הזכות לתבוע ולהיתבע בשם המנוחה, נתונה ממועד פטירתה ליורשיה.</w:t>
      </w:r>
    </w:p>
    <w:p w:rsidR="00183CF5" w:rsidRDefault="00A22E9F" w:rsidP="00183CF5">
      <w:pPr>
        <w:spacing w:after="120" w:line="360" w:lineRule="auto"/>
        <w:ind w:left="1275" w:hanging="567"/>
        <w:jc w:val="both"/>
        <w:rPr>
          <w:rtl/>
        </w:rPr>
      </w:pPr>
      <w:r>
        <w:rPr>
          <w:rFonts w:hint="cs"/>
          <w:rtl/>
        </w:rPr>
        <w:t>ב.</w:t>
      </w:r>
      <w:r>
        <w:rPr>
          <w:rFonts w:hint="cs"/>
          <w:rtl/>
        </w:rPr>
        <w:tab/>
        <w:t>פ'</w:t>
      </w:r>
      <w:r w:rsidR="00183CF5">
        <w:rPr>
          <w:rFonts w:hint="cs"/>
          <w:rtl/>
        </w:rPr>
        <w:t xml:space="preserve"> הציגה עצמה בצורה מטעה ובחוסר תום לב כיורשתה של המנוחה ונכנסה בנעלי</w:t>
      </w:r>
      <w:r>
        <w:rPr>
          <w:rFonts w:hint="cs"/>
          <w:rtl/>
        </w:rPr>
        <w:t>ה שלא כדין. בפועל אין בידי פ'</w:t>
      </w:r>
      <w:r w:rsidR="00183CF5">
        <w:rPr>
          <w:rFonts w:hint="cs"/>
          <w:rtl/>
        </w:rPr>
        <w:t xml:space="preserve"> צו ירושה או צו קיום צוואה, כך שהיא איננה בעלת זכות תביעה בשם המנוחה.</w:t>
      </w:r>
    </w:p>
    <w:p w:rsidR="00183CF5" w:rsidRDefault="00183CF5" w:rsidP="00183CF5">
      <w:pPr>
        <w:spacing w:after="120" w:line="360" w:lineRule="auto"/>
        <w:ind w:left="1275" w:hanging="567"/>
        <w:jc w:val="both"/>
        <w:rPr>
          <w:rtl/>
        </w:rPr>
      </w:pPr>
      <w:r>
        <w:rPr>
          <w:rFonts w:hint="cs"/>
          <w:rtl/>
        </w:rPr>
        <w:t>ג.</w:t>
      </w:r>
      <w:r>
        <w:rPr>
          <w:rFonts w:hint="cs"/>
          <w:rtl/>
        </w:rPr>
        <w:tab/>
        <w:t>זהות יורשי המנוחה עדיין שנויה במחלוקת והסוגייה מתבררת בימים אלו בבית משפט לענייני משפחה. המשיב הגיש בקשה לצו הירושות, בהיותו בעלה של המנוחה, ויתר היורשים הם ילדיהם המשותפים של המשיב והמנוחה.</w:t>
      </w:r>
    </w:p>
    <w:p w:rsidR="00183CF5" w:rsidRDefault="00183CF5" w:rsidP="00183CF5">
      <w:pPr>
        <w:spacing w:after="120" w:line="360" w:lineRule="auto"/>
        <w:ind w:left="1275" w:hanging="567"/>
        <w:jc w:val="both"/>
        <w:rPr>
          <w:rtl/>
        </w:rPr>
      </w:pPr>
      <w:r>
        <w:rPr>
          <w:rFonts w:hint="cs"/>
          <w:rtl/>
        </w:rPr>
        <w:t>ד.</w:t>
      </w:r>
      <w:r>
        <w:rPr>
          <w:rFonts w:hint="cs"/>
          <w:rtl/>
        </w:rPr>
        <w:tab/>
        <w:t>דין בקשת רשות הערעור דנן להי</w:t>
      </w:r>
      <w:r w:rsidR="00A22E9F">
        <w:rPr>
          <w:rFonts w:hint="cs"/>
          <w:rtl/>
        </w:rPr>
        <w:t>דחות על הסף משהוגשה על ידי פ'</w:t>
      </w:r>
      <w:r>
        <w:rPr>
          <w:rFonts w:hint="cs"/>
          <w:rtl/>
        </w:rPr>
        <w:t>, שהיא חסרת זיקה משפטית ויריבות, ובהיעדר זכות עמידה לאור המתואר לעיל.</w:t>
      </w:r>
    </w:p>
    <w:p w:rsidR="00183CF5" w:rsidRDefault="00183CF5" w:rsidP="00183CF5">
      <w:pPr>
        <w:spacing w:after="120" w:line="360" w:lineRule="auto"/>
        <w:ind w:left="1275" w:hanging="567"/>
        <w:jc w:val="both"/>
        <w:rPr>
          <w:rtl/>
        </w:rPr>
      </w:pPr>
      <w:r>
        <w:rPr>
          <w:rFonts w:hint="cs"/>
          <w:rtl/>
        </w:rPr>
        <w:t>ה.</w:t>
      </w:r>
      <w:r>
        <w:rPr>
          <w:rFonts w:hint="cs"/>
          <w:rtl/>
        </w:rPr>
        <w:tab/>
        <w:t>לגופם של דברים, עסקינן בבקשת רשות ערעור על החלטת בית משפט קמא מיום 21.8.23, לדחות את בקשת המבקשת לביטול צו המניעה הזמני שניתן ביום 13.2.23, כך שבקשת רשות הערעור היא על ההחלטה השיפוטית "המקורית" שניתנה כבר ביום 13.2.23, וחלף המועד לערער עליה.</w:t>
      </w:r>
    </w:p>
    <w:p w:rsidR="00183CF5" w:rsidRDefault="00183CF5" w:rsidP="00183CF5">
      <w:pPr>
        <w:spacing w:after="120" w:line="360" w:lineRule="auto"/>
        <w:ind w:left="1275" w:hanging="567"/>
        <w:jc w:val="both"/>
        <w:rPr>
          <w:rtl/>
        </w:rPr>
      </w:pPr>
      <w:r>
        <w:rPr>
          <w:rFonts w:hint="cs"/>
          <w:rtl/>
        </w:rPr>
        <w:lastRenderedPageBreak/>
        <w:t>ו.</w:t>
      </w:r>
      <w:r>
        <w:rPr>
          <w:rFonts w:hint="cs"/>
          <w:rtl/>
        </w:rPr>
        <w:tab/>
      </w:r>
      <w:r w:rsidRPr="00977C5A">
        <w:rPr>
          <w:rFonts w:hint="cs"/>
          <w:rtl/>
        </w:rPr>
        <w:t>המשיב אכן הסכים והביע נכונות בבית משפט קמא לצמצם את צו המניעה על שטח קטן יותר, הוא שטח הקרקע אשר נבנה עליו בית המגורים והשטח שמסביבו, בזמן שהמנוחה היתה בחיים והיוותה בעלת דין; אולם הסכמתו איננה רלוונטית עוד היום עם פטירת המנוחה והיות המשיב יורש על פי דין גם על חלקה</w:t>
      </w:r>
      <w:r>
        <w:rPr>
          <w:rFonts w:hint="cs"/>
          <w:rtl/>
        </w:rPr>
        <w:t xml:space="preserve"> של המנוחה. עם פטירת המנוחה התייתרה ההכרעה בשאלת הרכוש המשותף. בנוסף </w:t>
      </w:r>
      <w:r>
        <w:rPr>
          <w:rtl/>
        </w:rPr>
        <w:t>–</w:t>
      </w:r>
      <w:r>
        <w:rPr>
          <w:rFonts w:hint="cs"/>
          <w:rtl/>
        </w:rPr>
        <w:t xml:space="preserve"> גם בסוגיית שיעור הצמצום יש מחלוקת, כפי שהובהר בסעיף 48 לתשובת המשיב (לגרסת המשיב לא פחות מ-350 מ"ר, ולגרסת המבקשת שטח הבית הבנוי, כ-122 מ"ר, כמצויין בסעיף 2 לבקשת רשות הערעור).</w:t>
      </w:r>
    </w:p>
    <w:p w:rsidR="00183CF5" w:rsidRDefault="00183CF5" w:rsidP="00183CF5">
      <w:pPr>
        <w:spacing w:after="120" w:line="360" w:lineRule="auto"/>
        <w:ind w:left="1275" w:hanging="567"/>
        <w:jc w:val="both"/>
        <w:rPr>
          <w:rtl/>
        </w:rPr>
      </w:pPr>
      <w:r>
        <w:rPr>
          <w:rFonts w:hint="cs"/>
          <w:rtl/>
        </w:rPr>
        <w:t>ז.</w:t>
      </w:r>
      <w:r>
        <w:rPr>
          <w:rFonts w:hint="cs"/>
          <w:rtl/>
        </w:rPr>
        <w:tab/>
        <w:t xml:space="preserve">אין נפקות לשאלת מקור קבלת הזכויות במקרקעין, אם התקבלו בירושה ואם נרכשו ו/או נבנו במהלך החיים המשותפים של המשיב והמנוחה, היות שעם פטירת המנוחה הפך המשיב יחד עם ילדיו ליורשים על פי דין על מלוא עזבון המנוחה והרכוש הרשום על שמה, לרבות המקרקעין. </w:t>
      </w:r>
    </w:p>
    <w:p w:rsidR="00183CF5" w:rsidRDefault="00183CF5" w:rsidP="00183CF5">
      <w:pPr>
        <w:spacing w:after="120" w:line="360" w:lineRule="auto"/>
        <w:ind w:left="1275" w:hanging="567"/>
        <w:jc w:val="both"/>
        <w:rPr>
          <w:rtl/>
        </w:rPr>
      </w:pPr>
      <w:r>
        <w:rPr>
          <w:rFonts w:hint="cs"/>
          <w:rtl/>
        </w:rPr>
        <w:t>ח.</w:t>
      </w:r>
      <w:r>
        <w:rPr>
          <w:rFonts w:hint="cs"/>
          <w:rtl/>
        </w:rPr>
        <w:tab/>
        <w:t>ביחס לטענה שלכאורה מכרה המנוחה חלק מהמקרקעין לצדדי ג', טענה זו מוטלת בספק, לא נטענה ולא הוכחה בבית משפט קמא ומקומה להתברר בתי</w:t>
      </w:r>
      <w:r w:rsidR="00A22E9F">
        <w:rPr>
          <w:rFonts w:hint="cs"/>
          <w:rtl/>
        </w:rPr>
        <w:t>ק קמא. אף אם נלך לשיטתה של פ'</w:t>
      </w:r>
      <w:r>
        <w:rPr>
          <w:rFonts w:hint="cs"/>
          <w:rtl/>
        </w:rPr>
        <w:t>, בעניין מכר חלק מהמקרקעין לצד ג', הרי הזכו</w:t>
      </w:r>
      <w:r w:rsidR="00A22E9F">
        <w:rPr>
          <w:rFonts w:hint="cs"/>
          <w:rtl/>
        </w:rPr>
        <w:t>ת לתבוע הינה לצדדי ג' ולא לפ'</w:t>
      </w:r>
      <w:r>
        <w:rPr>
          <w:rFonts w:hint="cs"/>
          <w:rtl/>
        </w:rPr>
        <w:t>. צדדי ג' הנטענים לא פעלו בנדון בתיק קמא.</w:t>
      </w:r>
    </w:p>
    <w:p w:rsidR="00183CF5" w:rsidRPr="00254619" w:rsidRDefault="00183CF5" w:rsidP="00183CF5">
      <w:pPr>
        <w:spacing w:after="120" w:line="360" w:lineRule="auto"/>
        <w:ind w:left="1275" w:hanging="567"/>
        <w:jc w:val="both"/>
        <w:rPr>
          <w:rtl/>
        </w:rPr>
      </w:pPr>
      <w:r>
        <w:rPr>
          <w:rFonts w:hint="cs"/>
          <w:rtl/>
        </w:rPr>
        <w:t>ט.</w:t>
      </w:r>
      <w:r>
        <w:rPr>
          <w:rFonts w:hint="cs"/>
          <w:rtl/>
        </w:rPr>
        <w:tab/>
        <w:t>צו המניעה שניתן בתיק קמא הוא סעד חיוני והכרחי בנסיבות, לשמירת המצב הקיים ולשם הגנה ושמירת זכויות ואינטרס הצדדים, עד לבירור המחלוקות. ביטול הצו יפגע קשות בזכויות המשיב ויגרום נזק עצום, עת ימנע קיום פסק דין ככל שתתקבל תביעתו העיקרית של המשיב.</w:t>
      </w:r>
      <w:r w:rsidRPr="00254619">
        <w:rPr>
          <w:rtl/>
        </w:rPr>
        <w:tab/>
      </w:r>
    </w:p>
    <w:p w:rsidR="00183CF5" w:rsidRDefault="00183CF5" w:rsidP="00183CF5">
      <w:pPr>
        <w:spacing w:after="120" w:line="360" w:lineRule="auto"/>
        <w:ind w:left="567" w:hanging="567"/>
        <w:jc w:val="both"/>
        <w:rPr>
          <w:rtl/>
        </w:rPr>
      </w:pPr>
      <w:r>
        <w:rPr>
          <w:rFonts w:hint="cs"/>
          <w:rtl/>
        </w:rPr>
        <w:t>14</w:t>
      </w:r>
      <w:r w:rsidRPr="00254619">
        <w:rPr>
          <w:rFonts w:hint="cs"/>
          <w:rtl/>
        </w:rPr>
        <w:t>.</w:t>
      </w:r>
      <w:r w:rsidRPr="00254619">
        <w:rPr>
          <w:rFonts w:hint="cs"/>
          <w:rtl/>
        </w:rPr>
        <w:tab/>
      </w:r>
      <w:r w:rsidRPr="00977C5A">
        <w:rPr>
          <w:rFonts w:hint="cs"/>
          <w:u w:val="single"/>
          <w:rtl/>
        </w:rPr>
        <w:t>לאחר קבלת תשובת המשיב, ביקשתי בהחלטתי מיו</w:t>
      </w:r>
      <w:r w:rsidR="00A22E9F">
        <w:rPr>
          <w:rFonts w:hint="cs"/>
          <w:u w:val="single"/>
          <w:rtl/>
        </w:rPr>
        <w:t>ם 28.11.23 את התייחסות גב' פ'</w:t>
      </w:r>
      <w:r w:rsidRPr="00977C5A">
        <w:rPr>
          <w:rFonts w:hint="cs"/>
          <w:u w:val="single"/>
          <w:rtl/>
        </w:rPr>
        <w:t xml:space="preserve"> לעניין מעמדה כיורשת המנוחה. ההתייחסות הוגשה ביום 3.12.23, ולהלן תמציתה</w:t>
      </w:r>
      <w:r>
        <w:rPr>
          <w:rFonts w:hint="cs"/>
          <w:rtl/>
        </w:rPr>
        <w:t>:</w:t>
      </w:r>
    </w:p>
    <w:p w:rsidR="00183CF5" w:rsidRDefault="00183CF5" w:rsidP="00A22E9F">
      <w:pPr>
        <w:spacing w:after="120" w:line="360" w:lineRule="auto"/>
        <w:ind w:left="1275" w:hanging="567"/>
        <w:jc w:val="both"/>
        <w:rPr>
          <w:rtl/>
        </w:rPr>
      </w:pPr>
      <w:r>
        <w:rPr>
          <w:rFonts w:hint="cs"/>
          <w:rtl/>
        </w:rPr>
        <w:t>א.</w:t>
      </w:r>
      <w:r>
        <w:rPr>
          <w:rFonts w:hint="cs"/>
          <w:rtl/>
        </w:rPr>
        <w:tab/>
        <w:t>העובדה כי המנוחה נפטרה אחרי הדיון קמא צוינה בהחלטה קמא וגם בבקשת רשות הערעור;</w:t>
      </w:r>
      <w:r w:rsidR="00A22E9F">
        <w:rPr>
          <w:rFonts w:hint="cs"/>
          <w:rtl/>
        </w:rPr>
        <w:t xml:space="preserve"> בניגוד לנטען כל ידי המשיב, פ'</w:t>
      </w:r>
      <w:r>
        <w:rPr>
          <w:rFonts w:hint="cs"/>
          <w:rtl/>
        </w:rPr>
        <w:t xml:space="preserve"> לא טענה כי ניתן צו קיום צוואה לטובתה וכי היא הזוכה.</w:t>
      </w:r>
    </w:p>
    <w:p w:rsidR="00183CF5" w:rsidRDefault="00183CF5" w:rsidP="00183CF5">
      <w:pPr>
        <w:spacing w:after="120" w:line="360" w:lineRule="auto"/>
        <w:ind w:left="1275" w:hanging="567"/>
        <w:jc w:val="both"/>
        <w:rPr>
          <w:rtl/>
        </w:rPr>
      </w:pPr>
      <w:r>
        <w:rPr>
          <w:rFonts w:hint="cs"/>
          <w:rtl/>
        </w:rPr>
        <w:t>ב.</w:t>
      </w:r>
      <w:r>
        <w:rPr>
          <w:rFonts w:hint="cs"/>
          <w:rtl/>
        </w:rPr>
        <w:tab/>
        <w:t>המנוחה ערכה שתי צוואות, בש</w:t>
      </w:r>
      <w:r w:rsidR="00A22E9F">
        <w:rPr>
          <w:rFonts w:hint="cs"/>
          <w:rtl/>
        </w:rPr>
        <w:t>נת 2021 ובשנת 2022. בשתיהן פ'</w:t>
      </w:r>
      <w:r>
        <w:rPr>
          <w:rFonts w:hint="cs"/>
          <w:rtl/>
        </w:rPr>
        <w:t xml:space="preserve"> היא היורשת אולם לפי הצוואה הראשונה בזמן, בנה של המנוחה זוכה בבית הקיים על המקרקעין. בצוואה השנייה בזמן המנוח</w:t>
      </w:r>
      <w:r w:rsidR="00A22E9F">
        <w:rPr>
          <w:rFonts w:hint="cs"/>
          <w:rtl/>
        </w:rPr>
        <w:t>ה ציוותה את כל רכושה לטובת פ'</w:t>
      </w:r>
      <w:r>
        <w:rPr>
          <w:rFonts w:hint="cs"/>
          <w:rtl/>
        </w:rPr>
        <w:t xml:space="preserve"> כיורשת בלעדית.</w:t>
      </w:r>
    </w:p>
    <w:p w:rsidR="00183CF5" w:rsidRDefault="00A22E9F" w:rsidP="00183CF5">
      <w:pPr>
        <w:spacing w:after="120" w:line="360" w:lineRule="auto"/>
        <w:ind w:left="1275" w:hanging="567"/>
        <w:jc w:val="both"/>
        <w:rPr>
          <w:rtl/>
        </w:rPr>
      </w:pPr>
      <w:r>
        <w:rPr>
          <w:rFonts w:hint="cs"/>
          <w:rtl/>
        </w:rPr>
        <w:t>ג.</w:t>
      </w:r>
      <w:r>
        <w:rPr>
          <w:rFonts w:hint="cs"/>
          <w:rtl/>
        </w:rPr>
        <w:tab/>
        <w:t>פ'</w:t>
      </w:r>
      <w:r w:rsidR="00183CF5">
        <w:rPr>
          <w:rFonts w:hint="cs"/>
          <w:rtl/>
        </w:rPr>
        <w:t xml:space="preserve"> לא התיימרה לטעון כי היא יורשת בלעדית לפי צו קיום צוואה, משהוגשה התנגדות המשיב לצוואה וכן הוגשה בקשה מטעם בנה של המנוחה בעניין הצוואה הראשונה; הבקשות תלויות ועומדות בבית משפט קמא. </w:t>
      </w:r>
    </w:p>
    <w:p w:rsidR="00183CF5" w:rsidRDefault="00183CF5" w:rsidP="00183CF5">
      <w:pPr>
        <w:spacing w:after="120" w:line="360" w:lineRule="auto"/>
        <w:ind w:left="1275" w:hanging="567"/>
        <w:jc w:val="both"/>
        <w:rPr>
          <w:rtl/>
        </w:rPr>
      </w:pPr>
      <w:r>
        <w:rPr>
          <w:rFonts w:hint="cs"/>
          <w:rtl/>
        </w:rPr>
        <w:t>ד.</w:t>
      </w:r>
      <w:r>
        <w:rPr>
          <w:rFonts w:hint="cs"/>
          <w:rtl/>
        </w:rPr>
        <w:tab/>
        <w:t>הטענה כי לא ניתן לקיים דיון או להיות צד להליך המשפטי לאור פטירת המנוחה היא חסרת בסיס. כלל ידוע הוא כי לא תפוג תובענה על שום שאחד מבעלי הדין מת, אם עילת התובענה בעינה עומדת. העילה לביטול צו המניעה בעינה עומדת, לנוכח הטענות שהובאו בבקשת רשות הערעור.</w:t>
      </w:r>
    </w:p>
    <w:p w:rsidR="00183CF5" w:rsidRDefault="00183CF5" w:rsidP="00183CF5">
      <w:pPr>
        <w:spacing w:after="120" w:line="360" w:lineRule="auto"/>
        <w:ind w:left="1275" w:hanging="567"/>
        <w:jc w:val="both"/>
        <w:rPr>
          <w:rtl/>
        </w:rPr>
      </w:pPr>
      <w:r>
        <w:rPr>
          <w:rFonts w:hint="cs"/>
          <w:rtl/>
        </w:rPr>
        <w:lastRenderedPageBreak/>
        <w:t>ה.</w:t>
      </w:r>
      <w:r>
        <w:rPr>
          <w:rFonts w:hint="cs"/>
          <w:rtl/>
        </w:rPr>
        <w:tab/>
        <w:t>כבר נקבע בפסיקה כי גם אם טרם ניתן צו קיום צוואה, ניתן לבקש את צירופו של היורש הפוטנציאלי של המנוח כחליפו, ו/או הזוכים הפוטנציאלים לפי צווא</w:t>
      </w:r>
      <w:r w:rsidR="00A22E9F">
        <w:rPr>
          <w:rFonts w:hint="cs"/>
          <w:rtl/>
        </w:rPr>
        <w:t>ת המנוח כחליפיו. במקרה דנן פ'</w:t>
      </w:r>
      <w:r>
        <w:rPr>
          <w:rFonts w:hint="cs"/>
          <w:rtl/>
        </w:rPr>
        <w:t xml:space="preserve"> היא הזוכה הפוטנציאלית לפי צוואת המנוחה.</w:t>
      </w:r>
    </w:p>
    <w:p w:rsidR="00183CF5" w:rsidRDefault="00183CF5" w:rsidP="00A22E9F">
      <w:pPr>
        <w:spacing w:after="120" w:line="360" w:lineRule="auto"/>
        <w:ind w:left="567" w:hanging="567"/>
        <w:jc w:val="both"/>
        <w:rPr>
          <w:rtl/>
        </w:rPr>
      </w:pPr>
      <w:r>
        <w:rPr>
          <w:rFonts w:hint="cs"/>
          <w:rtl/>
        </w:rPr>
        <w:t>15.</w:t>
      </w:r>
      <w:r>
        <w:rPr>
          <w:rFonts w:hint="cs"/>
          <w:rtl/>
        </w:rPr>
        <w:tab/>
        <w:t>בינ</w:t>
      </w:r>
      <w:r w:rsidR="00A22E9F">
        <w:rPr>
          <w:rFonts w:hint="cs"/>
          <w:rtl/>
        </w:rPr>
        <w:t>י לביני, הגיש מר ג. ע</w:t>
      </w:r>
      <w:r>
        <w:rPr>
          <w:rFonts w:hint="cs"/>
          <w:rtl/>
        </w:rPr>
        <w:t xml:space="preserve"> (להלן: "</w:t>
      </w:r>
      <w:r w:rsidR="00A22E9F">
        <w:rPr>
          <w:rFonts w:hint="cs"/>
          <w:b/>
          <w:bCs/>
          <w:rtl/>
        </w:rPr>
        <w:t xml:space="preserve">מר ע' </w:t>
      </w:r>
      <w:r>
        <w:rPr>
          <w:rFonts w:hint="cs"/>
          <w:rtl/>
        </w:rPr>
        <w:t xml:space="preserve">") בקשה בתיק דנן, להצטרף כצד לבקשת רשות הערעור ולהורות על ביטול חלקי של צו המניעה. מר </w:t>
      </w:r>
      <w:r w:rsidR="00A22E9F">
        <w:rPr>
          <w:rFonts w:hint="cs"/>
          <w:rtl/>
        </w:rPr>
        <w:t>ע'</w:t>
      </w:r>
      <w:r>
        <w:rPr>
          <w:rFonts w:hint="cs"/>
          <w:rtl/>
        </w:rPr>
        <w:t xml:space="preserve"> טען בבקשתו כי רכש ביום 11.6.21 בתום לב חלק מהמקרקעין מהמנוחה ואחותה </w:t>
      </w:r>
      <w:r w:rsidR="00A22E9F">
        <w:rPr>
          <w:rFonts w:hint="cs"/>
          <w:rtl/>
        </w:rPr>
        <w:t>פ'</w:t>
      </w:r>
      <w:r>
        <w:rPr>
          <w:rFonts w:hint="cs"/>
          <w:rtl/>
        </w:rPr>
        <w:t>, ושילם את התמורה בעדו. לכן מבקש כעת לבטל חלקית את צו המניעה כך שיוכל לרשום על שמו את החלק שרכש.</w:t>
      </w:r>
    </w:p>
    <w:p w:rsidR="00183CF5" w:rsidRDefault="00183CF5" w:rsidP="00A22E9F">
      <w:pPr>
        <w:spacing w:after="120" w:line="360" w:lineRule="auto"/>
        <w:ind w:left="567" w:hanging="567"/>
        <w:jc w:val="both"/>
        <w:rPr>
          <w:rtl/>
        </w:rPr>
      </w:pPr>
      <w:r>
        <w:rPr>
          <w:rFonts w:hint="cs"/>
          <w:rtl/>
        </w:rPr>
        <w:t>16.</w:t>
      </w:r>
      <w:r>
        <w:rPr>
          <w:rFonts w:hint="cs"/>
          <w:rtl/>
        </w:rPr>
        <w:tab/>
      </w:r>
      <w:r w:rsidRPr="00254619">
        <w:rPr>
          <w:rFonts w:hint="cs"/>
          <w:u w:val="single"/>
          <w:rtl/>
        </w:rPr>
        <w:t xml:space="preserve">בהחלטתי מיום 28.11.23 דחיתי את בקשתו של מר </w:t>
      </w:r>
      <w:r w:rsidR="00A22E9F">
        <w:rPr>
          <w:rFonts w:hint="cs"/>
          <w:u w:val="single"/>
          <w:rtl/>
        </w:rPr>
        <w:t>ע'</w:t>
      </w:r>
      <w:r w:rsidRPr="00254619">
        <w:rPr>
          <w:rFonts w:hint="cs"/>
          <w:u w:val="single"/>
          <w:rtl/>
        </w:rPr>
        <w:t>, כהאי לישנא</w:t>
      </w:r>
      <w:r>
        <w:rPr>
          <w:rFonts w:hint="cs"/>
          <w:rtl/>
        </w:rPr>
        <w:t>:</w:t>
      </w:r>
    </w:p>
    <w:p w:rsidR="00183CF5" w:rsidRPr="00254619" w:rsidRDefault="00183CF5" w:rsidP="00183CF5">
      <w:pPr>
        <w:spacing w:after="120" w:line="360" w:lineRule="auto"/>
        <w:ind w:left="992" w:right="993"/>
        <w:jc w:val="both"/>
        <w:rPr>
          <w:b/>
          <w:bCs/>
          <w:rtl/>
        </w:rPr>
      </w:pPr>
      <w:r>
        <w:rPr>
          <w:rFonts w:hint="cs"/>
          <w:rtl/>
        </w:rPr>
        <w:t>"</w:t>
      </w:r>
      <w:r w:rsidRPr="00254619">
        <w:rPr>
          <w:b/>
          <w:bCs/>
          <w:rtl/>
        </w:rPr>
        <w:t>הבקשה נדחית.</w:t>
      </w:r>
    </w:p>
    <w:p w:rsidR="00183CF5" w:rsidRPr="00254619" w:rsidRDefault="00183CF5" w:rsidP="00183CF5">
      <w:pPr>
        <w:spacing w:after="120" w:line="360" w:lineRule="auto"/>
        <w:ind w:left="992" w:right="993"/>
        <w:jc w:val="both"/>
        <w:rPr>
          <w:b/>
          <w:bCs/>
          <w:rtl/>
        </w:rPr>
      </w:pPr>
      <w:r w:rsidRPr="00254619">
        <w:rPr>
          <w:b/>
          <w:bCs/>
          <w:rtl/>
        </w:rPr>
        <w:t>המבקש לא היה צד להתדיינות נשוא ההחלטה</w:t>
      </w:r>
      <w:r w:rsidRPr="00254619">
        <w:rPr>
          <w:rFonts w:hint="cs"/>
          <w:b/>
          <w:bCs/>
          <w:rtl/>
        </w:rPr>
        <w:t xml:space="preserve"> </w:t>
      </w:r>
      <w:r w:rsidRPr="00254619">
        <w:rPr>
          <w:b/>
          <w:bCs/>
          <w:rtl/>
        </w:rPr>
        <w:t>קמא, עליה נסוב הרמ"ש.</w:t>
      </w:r>
    </w:p>
    <w:p w:rsidR="00183CF5" w:rsidRPr="00254619" w:rsidRDefault="00183CF5" w:rsidP="00183CF5">
      <w:pPr>
        <w:spacing w:after="120" w:line="360" w:lineRule="auto"/>
        <w:ind w:left="992" w:right="993"/>
        <w:jc w:val="both"/>
        <w:rPr>
          <w:b/>
          <w:bCs/>
          <w:rtl/>
        </w:rPr>
      </w:pPr>
      <w:r w:rsidRPr="00254619">
        <w:rPr>
          <w:b/>
          <w:bCs/>
          <w:rtl/>
        </w:rPr>
        <w:t>כל בקשה שיש לו בנדון צריכה להיות מופנית לבית</w:t>
      </w:r>
      <w:r w:rsidRPr="00254619">
        <w:rPr>
          <w:rFonts w:hint="cs"/>
          <w:b/>
          <w:bCs/>
          <w:rtl/>
        </w:rPr>
        <w:t xml:space="preserve"> </w:t>
      </w:r>
      <w:r w:rsidRPr="00254619">
        <w:rPr>
          <w:b/>
          <w:bCs/>
          <w:rtl/>
        </w:rPr>
        <w:t>משפט קמא, ולא לערכאת הערעור.</w:t>
      </w:r>
    </w:p>
    <w:p w:rsidR="00183CF5" w:rsidRDefault="00183CF5" w:rsidP="00A22E9F">
      <w:pPr>
        <w:spacing w:after="120" w:line="360" w:lineRule="auto"/>
        <w:ind w:left="992" w:right="993"/>
        <w:jc w:val="both"/>
        <w:rPr>
          <w:rtl/>
        </w:rPr>
      </w:pPr>
      <w:r w:rsidRPr="00254619">
        <w:rPr>
          <w:b/>
          <w:bCs/>
          <w:rtl/>
        </w:rPr>
        <w:t>בכל אופן עובדת המכירה למבקש הוזכרה בבקשת</w:t>
      </w:r>
      <w:r w:rsidRPr="00254619">
        <w:rPr>
          <w:rFonts w:hint="cs"/>
          <w:b/>
          <w:bCs/>
          <w:rtl/>
        </w:rPr>
        <w:t xml:space="preserve"> </w:t>
      </w:r>
      <w:r w:rsidRPr="00254619">
        <w:rPr>
          <w:b/>
          <w:bCs/>
          <w:rtl/>
        </w:rPr>
        <w:t>רשות הערעור (סעיפים</w:t>
      </w:r>
      <w:r w:rsidR="00A22E9F">
        <w:rPr>
          <w:b/>
          <w:bCs/>
          <w:rtl/>
        </w:rPr>
        <w:t xml:space="preserve"> 48-50</w:t>
      </w:r>
      <w:r w:rsidRPr="00254619">
        <w:rPr>
          <w:b/>
          <w:bCs/>
          <w:rtl/>
        </w:rPr>
        <w:t>), ולכן הובאה לידיעת</w:t>
      </w:r>
      <w:r w:rsidRPr="00254619">
        <w:rPr>
          <w:rFonts w:hint="cs"/>
          <w:b/>
          <w:bCs/>
          <w:rtl/>
        </w:rPr>
        <w:t xml:space="preserve"> </w:t>
      </w:r>
      <w:r w:rsidRPr="00254619">
        <w:rPr>
          <w:b/>
          <w:bCs/>
          <w:rtl/>
        </w:rPr>
        <w:t>הח"מ, גם ללא צורך בצירופו כצד לבקשת רשות</w:t>
      </w:r>
      <w:r w:rsidRPr="00254619">
        <w:rPr>
          <w:rFonts w:hint="cs"/>
          <w:b/>
          <w:bCs/>
          <w:rtl/>
        </w:rPr>
        <w:t xml:space="preserve"> </w:t>
      </w:r>
      <w:r w:rsidRPr="00254619">
        <w:rPr>
          <w:b/>
          <w:bCs/>
          <w:rtl/>
        </w:rPr>
        <w:t>הערעור</w:t>
      </w:r>
      <w:r>
        <w:rPr>
          <w:rFonts w:hint="cs"/>
          <w:rtl/>
        </w:rPr>
        <w:t>"</w:t>
      </w:r>
      <w:r>
        <w:rPr>
          <w:rtl/>
        </w:rPr>
        <w:t>.</w:t>
      </w:r>
    </w:p>
    <w:p w:rsidR="00183CF5" w:rsidRPr="00254619" w:rsidRDefault="00183CF5" w:rsidP="00183CF5">
      <w:pPr>
        <w:spacing w:after="120" w:line="360" w:lineRule="auto"/>
        <w:jc w:val="both"/>
        <w:rPr>
          <w:rtl/>
        </w:rPr>
      </w:pPr>
    </w:p>
    <w:p w:rsidR="00183CF5" w:rsidRDefault="00183CF5" w:rsidP="00183CF5">
      <w:pPr>
        <w:spacing w:after="120" w:line="360" w:lineRule="auto"/>
        <w:jc w:val="both"/>
        <w:rPr>
          <w:b/>
          <w:bCs/>
          <w:u w:val="single"/>
          <w:rtl/>
        </w:rPr>
      </w:pPr>
      <w:r>
        <w:rPr>
          <w:b/>
          <w:bCs/>
          <w:u w:val="single"/>
          <w:rtl/>
        </w:rPr>
        <w:t>דיון והכרעה</w:t>
      </w:r>
    </w:p>
    <w:p w:rsidR="00183CF5" w:rsidRPr="00177C8A" w:rsidRDefault="00183CF5" w:rsidP="00183CF5">
      <w:pPr>
        <w:spacing w:after="120" w:line="360" w:lineRule="auto"/>
        <w:ind w:left="567" w:hanging="567"/>
        <w:jc w:val="both"/>
      </w:pPr>
      <w:r>
        <w:rPr>
          <w:rFonts w:hint="cs"/>
          <w:rtl/>
        </w:rPr>
        <w:t>17.</w:t>
      </w:r>
      <w:r>
        <w:rPr>
          <w:rFonts w:hint="cs"/>
          <w:rtl/>
        </w:rPr>
        <w:tab/>
      </w:r>
      <w:r>
        <w:rPr>
          <w:rFonts w:ascii="David" w:hAnsi="David"/>
          <w:b/>
          <w:bCs/>
          <w:rtl/>
        </w:rPr>
        <w:t>לאחר עיון בבקשה</w:t>
      </w:r>
      <w:r>
        <w:rPr>
          <w:rFonts w:ascii="David" w:hAnsi="David" w:hint="cs"/>
          <w:b/>
          <w:bCs/>
          <w:rtl/>
        </w:rPr>
        <w:t xml:space="preserve">, </w:t>
      </w:r>
      <w:r w:rsidRPr="00D72DC8">
        <w:rPr>
          <w:rFonts w:ascii="David" w:hAnsi="David"/>
          <w:b/>
          <w:bCs/>
          <w:rtl/>
        </w:rPr>
        <w:t xml:space="preserve">בתשובה ובתיק קמא, החלטתי ליתן רשות ערעור, לדון בערעור לגופו </w:t>
      </w:r>
      <w:r w:rsidRPr="00A95164">
        <w:rPr>
          <w:rFonts w:ascii="David" w:hAnsi="David"/>
          <w:b/>
          <w:bCs/>
          <w:rtl/>
        </w:rPr>
        <w:t>ול</w:t>
      </w:r>
      <w:r w:rsidRPr="00A95164">
        <w:rPr>
          <w:rFonts w:ascii="David" w:hAnsi="David" w:hint="cs"/>
          <w:b/>
          <w:bCs/>
          <w:rtl/>
        </w:rPr>
        <w:t>דח</w:t>
      </w:r>
      <w:r>
        <w:rPr>
          <w:rFonts w:ascii="David" w:hAnsi="David" w:hint="cs"/>
          <w:b/>
          <w:bCs/>
          <w:rtl/>
        </w:rPr>
        <w:t>ותו</w:t>
      </w:r>
      <w:r w:rsidRPr="00D72DC8">
        <w:rPr>
          <w:rFonts w:ascii="David" w:hAnsi="David"/>
          <w:b/>
          <w:bCs/>
          <w:rtl/>
        </w:rPr>
        <w:t>, הכל כפי שיפורט להלן. זאת מכוח סמכותי על פי סעיפים 138(א)(2)+(5) לתקנות סדר הדין האזרחי, התשע"ט-2018.</w:t>
      </w:r>
      <w:r w:rsidRPr="00D72DC8">
        <w:rPr>
          <w:rFonts w:ascii="David" w:hAnsi="David"/>
          <w:rtl/>
        </w:rPr>
        <w:t xml:space="preserve"> </w:t>
      </w:r>
    </w:p>
    <w:p w:rsidR="00183CF5" w:rsidRDefault="00183CF5" w:rsidP="00183CF5">
      <w:pPr>
        <w:spacing w:after="120" w:line="360" w:lineRule="auto"/>
        <w:ind w:left="567" w:hanging="567"/>
        <w:jc w:val="both"/>
        <w:rPr>
          <w:rFonts w:ascii="David" w:hAnsi="David"/>
          <w:rtl/>
        </w:rPr>
      </w:pPr>
      <w:r>
        <w:rPr>
          <w:rFonts w:ascii="David" w:hAnsi="David" w:hint="cs"/>
          <w:rtl/>
        </w:rPr>
        <w:t>18.</w:t>
      </w:r>
      <w:r>
        <w:rPr>
          <w:rFonts w:ascii="David" w:hAnsi="David" w:hint="cs"/>
          <w:rtl/>
        </w:rPr>
        <w:tab/>
      </w:r>
      <w:r w:rsidRPr="00560908">
        <w:rPr>
          <w:rFonts w:ascii="David" w:hAnsi="David"/>
          <w:rtl/>
        </w:rPr>
        <w:t xml:space="preserve">כלל ידוע </w:t>
      </w:r>
      <w:r>
        <w:rPr>
          <w:rFonts w:ascii="David" w:hAnsi="David" w:hint="cs"/>
          <w:rtl/>
        </w:rPr>
        <w:t>בפסיקה,</w:t>
      </w:r>
      <w:r w:rsidRPr="00560908">
        <w:rPr>
          <w:rFonts w:ascii="David" w:hAnsi="David"/>
          <w:rtl/>
        </w:rPr>
        <w:t xml:space="preserve"> כי לערכאה הדיונית מסור שיקול דעת רחב בכל הנוגע למתן סעדים זמניים, </w:t>
      </w:r>
      <w:r>
        <w:rPr>
          <w:rFonts w:ascii="David" w:hAnsi="David" w:hint="cs"/>
          <w:rtl/>
        </w:rPr>
        <w:t>לנוכח</w:t>
      </w:r>
      <w:r w:rsidRPr="00560908">
        <w:rPr>
          <w:rFonts w:ascii="David" w:hAnsi="David"/>
          <w:rtl/>
        </w:rPr>
        <w:t xml:space="preserve"> התרשמותה הישירה מהצדדים ומטענותיהם, ומשכך התערבות ערכאת הערעור בהחלטות בעניין זה שמורה למקרים חריגים</w:t>
      </w:r>
      <w:r>
        <w:rPr>
          <w:rFonts w:ascii="David" w:hAnsi="David" w:hint="cs"/>
          <w:rtl/>
        </w:rPr>
        <w:t>.</w:t>
      </w:r>
    </w:p>
    <w:p w:rsidR="00183CF5" w:rsidRDefault="00183CF5" w:rsidP="00183CF5">
      <w:pPr>
        <w:spacing w:after="120" w:line="360" w:lineRule="auto"/>
        <w:ind w:left="567" w:hanging="567"/>
        <w:jc w:val="both"/>
        <w:rPr>
          <w:rFonts w:ascii="David" w:hAnsi="David"/>
          <w:rtl/>
        </w:rPr>
      </w:pPr>
      <w:r>
        <w:rPr>
          <w:rFonts w:ascii="David" w:hAnsi="David"/>
          <w:rtl/>
        </w:rPr>
        <w:tab/>
      </w:r>
      <w:r w:rsidRPr="00560908">
        <w:rPr>
          <w:rFonts w:ascii="David" w:hAnsi="David" w:hint="cs"/>
          <w:u w:val="single"/>
          <w:rtl/>
        </w:rPr>
        <w:t>ראו למשל</w:t>
      </w:r>
      <w:r>
        <w:rPr>
          <w:rFonts w:ascii="David" w:hAnsi="David" w:hint="cs"/>
          <w:rtl/>
        </w:rPr>
        <w:t xml:space="preserve">: </w:t>
      </w:r>
      <w:r w:rsidRPr="00560908">
        <w:rPr>
          <w:rFonts w:ascii="David" w:hAnsi="David"/>
          <w:rtl/>
        </w:rPr>
        <w:t>רע</w:t>
      </w:r>
      <w:r>
        <w:rPr>
          <w:rFonts w:ascii="David" w:hAnsi="David" w:hint="cs"/>
          <w:rtl/>
        </w:rPr>
        <w:t>"</w:t>
      </w:r>
      <w:r>
        <w:rPr>
          <w:rFonts w:ascii="David" w:hAnsi="David"/>
          <w:rtl/>
        </w:rPr>
        <w:t>א 7616/23</w:t>
      </w:r>
      <w:r w:rsidRPr="00560908">
        <w:rPr>
          <w:rFonts w:ascii="David" w:hAnsi="David"/>
          <w:rtl/>
        </w:rPr>
        <w:t xml:space="preserve"> </w:t>
      </w:r>
      <w:r w:rsidRPr="00560908">
        <w:rPr>
          <w:rFonts w:ascii="David" w:hAnsi="David"/>
          <w:b/>
          <w:bCs/>
          <w:rtl/>
        </w:rPr>
        <w:t>אפרים אוריון נ' יאיר גולדפינגר</w:t>
      </w:r>
      <w:r>
        <w:rPr>
          <w:rFonts w:ascii="David" w:hAnsi="David" w:hint="cs"/>
          <w:rtl/>
        </w:rPr>
        <w:t xml:space="preserve"> (5.11.2023), פסקה 7.</w:t>
      </w:r>
    </w:p>
    <w:p w:rsidR="00183CF5" w:rsidRPr="00E5502B" w:rsidRDefault="00183CF5" w:rsidP="00183CF5">
      <w:pPr>
        <w:spacing w:after="120" w:line="360" w:lineRule="auto"/>
        <w:ind w:left="567" w:hanging="567"/>
        <w:jc w:val="both"/>
        <w:rPr>
          <w:rFonts w:ascii="David" w:hAnsi="David"/>
          <w:rtl/>
        </w:rPr>
      </w:pPr>
      <w:r>
        <w:rPr>
          <w:rFonts w:ascii="David" w:hAnsi="David"/>
          <w:rtl/>
        </w:rPr>
        <w:tab/>
      </w:r>
      <w:r w:rsidRPr="00560908">
        <w:rPr>
          <w:rFonts w:ascii="David" w:hAnsi="David" w:hint="cs"/>
          <w:b/>
          <w:bCs/>
          <w:rtl/>
        </w:rPr>
        <w:t xml:space="preserve">לא מצאתי כי ענייננו </w:t>
      </w:r>
      <w:r>
        <w:rPr>
          <w:rFonts w:ascii="David" w:hAnsi="David" w:hint="cs"/>
          <w:b/>
          <w:bCs/>
          <w:rtl/>
        </w:rPr>
        <w:t xml:space="preserve">נמנה על </w:t>
      </w:r>
      <w:r w:rsidRPr="00560908">
        <w:rPr>
          <w:rFonts w:ascii="David" w:hAnsi="David" w:hint="cs"/>
          <w:b/>
          <w:bCs/>
          <w:rtl/>
        </w:rPr>
        <w:t>אותם מקרים חריגים</w:t>
      </w:r>
      <w:r>
        <w:rPr>
          <w:rFonts w:ascii="David" w:hAnsi="David" w:hint="cs"/>
          <w:b/>
          <w:bCs/>
          <w:rtl/>
        </w:rPr>
        <w:t>, המצדיק התערבות בהחלטה קמא</w:t>
      </w:r>
      <w:r w:rsidRPr="00560908">
        <w:rPr>
          <w:rFonts w:ascii="David" w:hAnsi="David" w:hint="cs"/>
          <w:b/>
          <w:bCs/>
          <w:rtl/>
        </w:rPr>
        <w:t>.</w:t>
      </w:r>
    </w:p>
    <w:p w:rsidR="00183CF5" w:rsidRDefault="00183CF5" w:rsidP="00183CF5">
      <w:pPr>
        <w:spacing w:after="120" w:line="360" w:lineRule="auto"/>
        <w:ind w:left="567" w:hanging="567"/>
        <w:jc w:val="both"/>
        <w:rPr>
          <w:rFonts w:ascii="David" w:hAnsi="David"/>
          <w:rtl/>
        </w:rPr>
      </w:pPr>
      <w:r w:rsidRPr="00E5502B">
        <w:rPr>
          <w:rFonts w:ascii="David" w:hAnsi="David" w:hint="cs"/>
          <w:rtl/>
        </w:rPr>
        <w:t>19.</w:t>
      </w:r>
      <w:r w:rsidRPr="00E5502B">
        <w:rPr>
          <w:rFonts w:ascii="David" w:hAnsi="David" w:hint="cs"/>
          <w:rtl/>
        </w:rPr>
        <w:tab/>
      </w:r>
      <w:r>
        <w:rPr>
          <w:rFonts w:ascii="David" w:hAnsi="David" w:hint="cs"/>
          <w:rtl/>
        </w:rPr>
        <w:t xml:space="preserve">בהחלטה קמא נימק בית משפט </w:t>
      </w:r>
      <w:r w:rsidRPr="00977C5A">
        <w:rPr>
          <w:rFonts w:ascii="David" w:hAnsi="David" w:hint="cs"/>
          <w:rtl/>
        </w:rPr>
        <w:t xml:space="preserve">קמא את </w:t>
      </w:r>
      <w:r w:rsidRPr="00977C5A">
        <w:rPr>
          <w:rFonts w:ascii="David" w:hAnsi="David"/>
          <w:rtl/>
        </w:rPr>
        <w:t>הנסיבות החריגות</w:t>
      </w:r>
      <w:r w:rsidRPr="00977C5A">
        <w:rPr>
          <w:rFonts w:ascii="David" w:hAnsi="David" w:hint="cs"/>
          <w:rtl/>
        </w:rPr>
        <w:t>,</w:t>
      </w:r>
      <w:r>
        <w:rPr>
          <w:rFonts w:ascii="David" w:hAnsi="David" w:hint="cs"/>
          <w:rtl/>
        </w:rPr>
        <w:t xml:space="preserve"> כפי שתיאר</w:t>
      </w:r>
      <w:r w:rsidR="00DA6F87">
        <w:rPr>
          <w:rFonts w:ascii="David" w:hAnsi="David" w:hint="cs"/>
          <w:rtl/>
        </w:rPr>
        <w:t>ן</w:t>
      </w:r>
      <w:r>
        <w:rPr>
          <w:rFonts w:ascii="David" w:hAnsi="David" w:hint="cs"/>
          <w:rtl/>
        </w:rPr>
        <w:t xml:space="preserve">, שהצדיקו את </w:t>
      </w:r>
      <w:r>
        <w:rPr>
          <w:rFonts w:ascii="David" w:hAnsi="David"/>
          <w:rtl/>
        </w:rPr>
        <w:t xml:space="preserve">השארת </w:t>
      </w:r>
      <w:r w:rsidRPr="00CD3F27">
        <w:rPr>
          <w:rFonts w:ascii="David" w:hAnsi="David"/>
          <w:rtl/>
        </w:rPr>
        <w:t xml:space="preserve">צו </w:t>
      </w:r>
      <w:r>
        <w:rPr>
          <w:rFonts w:ascii="David" w:hAnsi="David" w:hint="cs"/>
          <w:rtl/>
        </w:rPr>
        <w:t xml:space="preserve">המניעה </w:t>
      </w:r>
      <w:r w:rsidRPr="00CD3F27">
        <w:rPr>
          <w:rFonts w:ascii="David" w:hAnsi="David"/>
          <w:rtl/>
        </w:rPr>
        <w:t>על כנו עד לבירור התביעה העיקרית</w:t>
      </w:r>
      <w:r>
        <w:rPr>
          <w:rFonts w:ascii="David" w:hAnsi="David" w:hint="cs"/>
          <w:rtl/>
        </w:rPr>
        <w:t xml:space="preserve">, ולא מצאתי בנימוקים אלה מתום. </w:t>
      </w:r>
    </w:p>
    <w:p w:rsidR="00183CF5" w:rsidRDefault="00183CF5" w:rsidP="00183CF5">
      <w:pPr>
        <w:spacing w:after="120" w:line="360" w:lineRule="auto"/>
        <w:ind w:left="567" w:hanging="567"/>
        <w:jc w:val="both"/>
        <w:rPr>
          <w:rFonts w:ascii="David" w:hAnsi="David"/>
          <w:rtl/>
        </w:rPr>
      </w:pPr>
      <w:r>
        <w:rPr>
          <w:rFonts w:ascii="David" w:hAnsi="David"/>
          <w:rtl/>
        </w:rPr>
        <w:tab/>
      </w:r>
      <w:r>
        <w:rPr>
          <w:rFonts w:ascii="David" w:hAnsi="David" w:hint="cs"/>
          <w:rtl/>
        </w:rPr>
        <w:t>לא שוכנעתי מטענות המב</w:t>
      </w:r>
      <w:r w:rsidR="002F3CB9">
        <w:rPr>
          <w:rFonts w:ascii="David" w:hAnsi="David" w:hint="cs"/>
          <w:rtl/>
        </w:rPr>
        <w:t>קשת בבקשת רשות הערעור, גב' פ'</w:t>
      </w:r>
      <w:r>
        <w:rPr>
          <w:rFonts w:ascii="David" w:hAnsi="David" w:hint="cs"/>
          <w:rtl/>
        </w:rPr>
        <w:t xml:space="preserve">, כי היה מקום לצמצם את הצו קמא על מנת שחלק מהמקרקעין יועבר על שם רוכש נטען, צד ג'. אני מסכים עם עמדת בית משפט </w:t>
      </w:r>
      <w:r w:rsidRPr="00977C5A">
        <w:rPr>
          <w:rFonts w:ascii="David" w:hAnsi="David" w:hint="cs"/>
          <w:rtl/>
        </w:rPr>
        <w:t>קמא, לפיה בשלב זה קיים ערפול בכל הקשור לנסיבות המכר ורישומי הערות האזהרה, וכי</w:t>
      </w:r>
      <w:r>
        <w:rPr>
          <w:rFonts w:ascii="David" w:hAnsi="David" w:hint="cs"/>
          <w:rtl/>
        </w:rPr>
        <w:t xml:space="preserve"> יש לברר עובדתית את תמונת הזכויות במקרקעין; </w:t>
      </w:r>
    </w:p>
    <w:p w:rsidR="00183CF5" w:rsidRDefault="00183CF5" w:rsidP="00183CF5">
      <w:pPr>
        <w:spacing w:after="120" w:line="360" w:lineRule="auto"/>
        <w:ind w:left="567" w:hanging="567"/>
        <w:jc w:val="both"/>
        <w:rPr>
          <w:rFonts w:ascii="David" w:hAnsi="David"/>
          <w:rtl/>
        </w:rPr>
      </w:pPr>
      <w:r>
        <w:rPr>
          <w:rFonts w:ascii="David" w:hAnsi="David"/>
          <w:rtl/>
        </w:rPr>
        <w:lastRenderedPageBreak/>
        <w:tab/>
      </w:r>
      <w:r>
        <w:rPr>
          <w:rFonts w:ascii="David" w:hAnsi="David" w:hint="cs"/>
          <w:rtl/>
        </w:rPr>
        <w:t>מעבר לכך, גם הסכמתו הנטענת של המשיב לצמצום צו המניעה אינה ברורה, ולמעשה נתונה במחלוקת</w:t>
      </w:r>
      <w:r w:rsidRPr="00977C5A">
        <w:rPr>
          <w:rFonts w:ascii="David" w:hAnsi="David"/>
          <w:rtl/>
        </w:rPr>
        <w:t>, כפ</w:t>
      </w:r>
      <w:r>
        <w:rPr>
          <w:rFonts w:ascii="David" w:hAnsi="David"/>
          <w:rtl/>
        </w:rPr>
        <w:t xml:space="preserve">י שהובהר בסעיף 48 לתשובת המשיב </w:t>
      </w:r>
      <w:r>
        <w:rPr>
          <w:rFonts w:ascii="David" w:hAnsi="David" w:hint="cs"/>
          <w:rtl/>
        </w:rPr>
        <w:t>(</w:t>
      </w:r>
      <w:r w:rsidRPr="00977C5A">
        <w:rPr>
          <w:rFonts w:ascii="David" w:hAnsi="David"/>
          <w:rtl/>
        </w:rPr>
        <w:t>לגרסת המשיב לא פחות מ-350 מ"ר, ולגרסת המבקשת שטח הבית הבנוי, כ-122 מ"ר, כמצויין בסעיף 2 לבקשת רשות הערעור).</w:t>
      </w:r>
    </w:p>
    <w:p w:rsidR="00183CF5" w:rsidRDefault="00183CF5" w:rsidP="00DA6F87">
      <w:pPr>
        <w:spacing w:after="120" w:line="360" w:lineRule="auto"/>
        <w:ind w:left="567"/>
        <w:jc w:val="both"/>
        <w:rPr>
          <w:rFonts w:ascii="David" w:hAnsi="David"/>
          <w:rtl/>
        </w:rPr>
      </w:pPr>
      <w:r>
        <w:rPr>
          <w:rFonts w:ascii="David" w:hAnsi="David" w:hint="cs"/>
          <w:rtl/>
        </w:rPr>
        <w:t xml:space="preserve">בנוסף </w:t>
      </w:r>
      <w:r>
        <w:rPr>
          <w:rFonts w:ascii="David" w:hAnsi="David"/>
          <w:rtl/>
        </w:rPr>
        <w:t>–</w:t>
      </w:r>
      <w:r>
        <w:rPr>
          <w:rFonts w:ascii="David" w:hAnsi="David" w:hint="cs"/>
          <w:rtl/>
        </w:rPr>
        <w:t xml:space="preserve"> </w:t>
      </w:r>
      <w:r w:rsidRPr="00977C5A">
        <w:rPr>
          <w:rFonts w:ascii="David" w:hAnsi="David" w:hint="cs"/>
          <w:rtl/>
        </w:rPr>
        <w:t xml:space="preserve">הרושם הוא שאין </w:t>
      </w:r>
      <w:r w:rsidRPr="00977C5A">
        <w:rPr>
          <w:rFonts w:ascii="David" w:hAnsi="David"/>
          <w:rtl/>
        </w:rPr>
        <w:t>מדובר ביחידות הניתנות להפרדה, או כי השימוש באיזה מהיחידות הופרד</w:t>
      </w:r>
      <w:r w:rsidR="00DA6F87">
        <w:rPr>
          <w:rFonts w:ascii="David" w:hAnsi="David" w:hint="cs"/>
          <w:rtl/>
        </w:rPr>
        <w:t xml:space="preserve">, כפי שעמדה על כך השופטת בהחלטה קמא. </w:t>
      </w:r>
      <w:r>
        <w:rPr>
          <w:rFonts w:ascii="David" w:hAnsi="David" w:hint="cs"/>
          <w:rtl/>
        </w:rPr>
        <w:t xml:space="preserve">לכן </w:t>
      </w:r>
      <w:r w:rsidR="00DA6F87">
        <w:rPr>
          <w:rFonts w:ascii="David" w:hAnsi="David" w:hint="cs"/>
          <w:rtl/>
        </w:rPr>
        <w:t>יש קושי</w:t>
      </w:r>
      <w:r>
        <w:rPr>
          <w:rFonts w:ascii="David" w:hAnsi="David" w:hint="cs"/>
          <w:rtl/>
        </w:rPr>
        <w:t xml:space="preserve"> לצמצם את צו המניעה, אלא עליו לחול על כל המקרקעין, לשמירת הזכויות הקיימות. </w:t>
      </w:r>
    </w:p>
    <w:p w:rsidR="00183CF5" w:rsidRDefault="00183CF5" w:rsidP="00183CF5">
      <w:pPr>
        <w:spacing w:after="120" w:line="360" w:lineRule="auto"/>
        <w:ind w:left="567" w:hanging="567"/>
        <w:jc w:val="both"/>
        <w:rPr>
          <w:rFonts w:ascii="David" w:hAnsi="David"/>
          <w:rtl/>
        </w:rPr>
      </w:pPr>
      <w:r>
        <w:rPr>
          <w:rFonts w:ascii="David" w:hAnsi="David" w:hint="cs"/>
          <w:rtl/>
        </w:rPr>
        <w:t>20.</w:t>
      </w:r>
      <w:r>
        <w:rPr>
          <w:rFonts w:ascii="David" w:hAnsi="David" w:hint="cs"/>
          <w:rtl/>
        </w:rPr>
        <w:tab/>
        <w:t>נימוק נוסף, המצדיק לטעמי את השארת צו המניעה על כנו, הוא המח</w:t>
      </w:r>
      <w:r w:rsidR="00DA6F87">
        <w:rPr>
          <w:rFonts w:ascii="David" w:hAnsi="David" w:hint="cs"/>
          <w:rtl/>
        </w:rPr>
        <w:t xml:space="preserve">לוקת שהתגלעה בין הצדדים לעניין </w:t>
      </w:r>
      <w:r>
        <w:rPr>
          <w:rFonts w:ascii="David" w:hAnsi="David" w:hint="cs"/>
          <w:rtl/>
        </w:rPr>
        <w:t>זהות יורשי המנוחה. בתיק קמא וגם בכתבי טענותיהם בבקשת רשות ערעור זו, טען כל צד כי הוא הוא היורש של המנוחה, ותלויות ועומדות תובענות בעניין זה בבית משפט קמא. נסיבות אלה מצטרפות לנימוקי ההחלטה קמא</w:t>
      </w:r>
      <w:r w:rsidR="00DA6F87">
        <w:rPr>
          <w:rFonts w:ascii="David" w:hAnsi="David" w:hint="cs"/>
          <w:rtl/>
        </w:rPr>
        <w:t>,</w:t>
      </w:r>
      <w:r>
        <w:rPr>
          <w:rFonts w:ascii="David" w:hAnsi="David" w:hint="cs"/>
          <w:rtl/>
        </w:rPr>
        <w:t xml:space="preserve"> ומקנות לה טעם נוסף המצדיק השארת צו המניעה על כנו.</w:t>
      </w:r>
    </w:p>
    <w:p w:rsidR="00183CF5" w:rsidRPr="00E5502B" w:rsidRDefault="00183CF5" w:rsidP="00183CF5">
      <w:pPr>
        <w:spacing w:after="120" w:line="360" w:lineRule="auto"/>
        <w:ind w:left="567" w:hanging="567"/>
        <w:jc w:val="both"/>
        <w:rPr>
          <w:rFonts w:ascii="David" w:hAnsi="David"/>
          <w:rtl/>
        </w:rPr>
      </w:pPr>
      <w:r>
        <w:rPr>
          <w:rFonts w:ascii="David" w:hAnsi="David" w:hint="cs"/>
          <w:rtl/>
        </w:rPr>
        <w:t>21.</w:t>
      </w:r>
      <w:r>
        <w:rPr>
          <w:rFonts w:ascii="David" w:hAnsi="David" w:hint="cs"/>
          <w:rtl/>
        </w:rPr>
        <w:tab/>
      </w:r>
      <w:r w:rsidRPr="000A185F">
        <w:rPr>
          <w:rFonts w:ascii="David" w:hAnsi="David" w:hint="cs"/>
          <w:b/>
          <w:bCs/>
          <w:rtl/>
        </w:rPr>
        <w:t>לאור כל המתואר לעיל, אני מורה על דחיית בקשת רשות הערעור.</w:t>
      </w:r>
    </w:p>
    <w:p w:rsidR="00183CF5" w:rsidRDefault="00183CF5" w:rsidP="00183CF5">
      <w:pPr>
        <w:spacing w:after="120" w:line="360" w:lineRule="auto"/>
        <w:ind w:left="567" w:hanging="567"/>
        <w:jc w:val="both"/>
        <w:rPr>
          <w:rFonts w:ascii="David" w:hAnsi="David"/>
          <w:rtl/>
        </w:rPr>
      </w:pPr>
      <w:r>
        <w:rPr>
          <w:rFonts w:ascii="David" w:hAnsi="David" w:hint="cs"/>
          <w:rtl/>
        </w:rPr>
        <w:t>22.</w:t>
      </w:r>
      <w:r>
        <w:rPr>
          <w:rFonts w:ascii="David" w:hAnsi="David" w:hint="cs"/>
          <w:rtl/>
        </w:rPr>
        <w:tab/>
        <w:t>בנסיבות הענין אין צו להוצאות.</w:t>
      </w:r>
    </w:p>
    <w:p w:rsidR="00694556" w:rsidRPr="00C770E3" w:rsidRDefault="00183CF5" w:rsidP="00E16D73">
      <w:pPr>
        <w:spacing w:after="120" w:line="360" w:lineRule="auto"/>
        <w:ind w:left="567" w:hanging="567"/>
        <w:jc w:val="both"/>
        <w:rPr>
          <w:rFonts w:ascii="Arial" w:hAnsi="Arial"/>
          <w:noProof w:val="0"/>
          <w:rtl/>
        </w:rPr>
      </w:pPr>
      <w:r>
        <w:rPr>
          <w:rFonts w:ascii="David" w:hAnsi="David" w:hint="cs"/>
          <w:rtl/>
        </w:rPr>
        <w:t>23.</w:t>
      </w:r>
      <w:r>
        <w:rPr>
          <w:rFonts w:ascii="David" w:hAnsi="David" w:hint="cs"/>
          <w:rtl/>
        </w:rPr>
        <w:tab/>
        <w:t xml:space="preserve">ערבון שהופקד בהליך יוחזר למבקשת באמצעות בא כוחה.     </w:t>
      </w:r>
    </w:p>
    <w:p w:rsidR="00694556" w:rsidRPr="00C770E3" w:rsidRDefault="00694556">
      <w:pPr>
        <w:spacing w:line="360" w:lineRule="auto"/>
        <w:jc w:val="both"/>
        <w:rPr>
          <w:rFonts w:ascii="Arial" w:hAnsi="Arial"/>
          <w:noProof w:val="0"/>
          <w:rtl/>
        </w:rPr>
      </w:pPr>
    </w:p>
    <w:p w:rsidR="00694556" w:rsidRPr="00E16D73" w:rsidRDefault="00E16D73">
      <w:pPr>
        <w:spacing w:line="360" w:lineRule="auto"/>
        <w:jc w:val="both"/>
        <w:rPr>
          <w:rFonts w:ascii="Arial" w:hAnsi="Arial"/>
          <w:b/>
          <w:bCs/>
          <w:noProof w:val="0"/>
          <w:rtl/>
        </w:rPr>
      </w:pPr>
      <w:r w:rsidRPr="00E16D73">
        <w:rPr>
          <w:rFonts w:ascii="Arial" w:hAnsi="Arial" w:hint="cs"/>
          <w:b/>
          <w:bCs/>
          <w:noProof w:val="0"/>
          <w:rtl/>
        </w:rPr>
        <w:t>המזכירות תעביר את פסק הדין לצדדים.</w:t>
      </w:r>
    </w:p>
    <w:p w:rsidR="00E16D73" w:rsidRPr="00E16D73" w:rsidRDefault="00E16D73">
      <w:pPr>
        <w:spacing w:line="360" w:lineRule="auto"/>
        <w:jc w:val="both"/>
        <w:rPr>
          <w:rFonts w:ascii="Arial" w:hAnsi="Arial"/>
          <w:b/>
          <w:bCs/>
          <w:noProof w:val="0"/>
          <w:rtl/>
        </w:rPr>
      </w:pPr>
    </w:p>
    <w:p w:rsidR="00E16D73" w:rsidRPr="00E16D73" w:rsidRDefault="00E16D73">
      <w:pPr>
        <w:spacing w:line="360" w:lineRule="auto"/>
        <w:jc w:val="both"/>
        <w:rPr>
          <w:rFonts w:ascii="Arial" w:hAnsi="Arial"/>
          <w:b/>
          <w:bCs/>
          <w:noProof w:val="0"/>
          <w:rtl/>
        </w:rPr>
      </w:pPr>
      <w:r w:rsidRPr="00E16D73">
        <w:rPr>
          <w:rFonts w:ascii="Arial" w:hAnsi="Arial" w:hint="cs"/>
          <w:b/>
          <w:bCs/>
          <w:noProof w:val="0"/>
          <w:rtl/>
        </w:rPr>
        <w:t>פסק דין זה מותר לפרסום תוך השמטת שמות הצדדים ופרטים מזהים.</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דצמבר 2023</w:t>
          </w:r>
        </w:sdtContent>
      </w:sdt>
      <w:r w:rsidR="00005C8B">
        <w:rPr>
          <w:rFonts w:ascii="Arial" w:hAnsi="Arial"/>
          <w:noProof w:val="0"/>
          <w:rtl/>
        </w:rPr>
        <w:t>, בהעדר הצדדים.</w:t>
      </w:r>
    </w:p>
    <w:p w:rsidR="00C43648" w:rsidRDefault="00E4438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46085296"/>
        </w:sdtPr>
        <w:sdtEndPr/>
        <w:sdtContent>
          <w:r w:rsidR="00DA49E9">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83CF5">
      <w:headerReference w:type="even" r:id="rId10"/>
      <w:headerReference w:type="default" r:id="rId11"/>
      <w:footerReference w:type="even" r:id="rId12"/>
      <w:footerReference w:type="default" r:id="rId13"/>
      <w:headerReference w:type="first" r:id="rId14"/>
      <w:footerReference w:type="first" r:id="rId15"/>
      <w:pgSz w:w="11907" w:h="16840" w:code="9"/>
      <w:pgMar w:top="1440" w:right="1134"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387" w:rsidRDefault="00E44387">
      <w:r>
        <w:separator/>
      </w:r>
    </w:p>
  </w:endnote>
  <w:endnote w:type="continuationSeparator" w:id="0">
    <w:p w:rsidR="00E44387" w:rsidRDefault="00E4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41D" w:rsidRDefault="0089741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9741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9741D">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41D" w:rsidRDefault="0089741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387" w:rsidRDefault="00E44387">
      <w:r>
        <w:separator/>
      </w:r>
    </w:p>
  </w:footnote>
  <w:footnote w:type="continuationSeparator" w:id="0">
    <w:p w:rsidR="00E44387" w:rsidRDefault="00E4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41D" w:rsidRDefault="008974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304EE9" w:rsidRDefault="00E44387" w:rsidP="00D42E09">
          <w:pPr>
            <w:rPr>
              <w:b/>
              <w:bCs/>
              <w:noProof w:val="0"/>
              <w:sz w:val="26"/>
              <w:szCs w:val="26"/>
              <w:rtl/>
            </w:rPr>
          </w:pPr>
          <w:sdt>
            <w:sdtPr>
              <w:rPr>
                <w:rtl/>
              </w:rPr>
              <w:alias w:val="1170"/>
              <w:tag w:val="1170"/>
              <w:id w:val="1066377040"/>
              <w:text w:multiLine="1"/>
            </w:sdtPr>
            <w:sdtEndPr/>
            <w:sdtContent>
              <w:r w:rsidR="00DA2495">
                <w:rPr>
                  <w:b/>
                  <w:bCs/>
                  <w:noProof w:val="0"/>
                  <w:sz w:val="26"/>
                  <w:szCs w:val="26"/>
                  <w:rtl/>
                </w:rPr>
                <w:t>רמ"ש</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DA2495">
                <w:rPr>
                  <w:b/>
                  <w:bCs/>
                  <w:noProof w:val="0"/>
                  <w:sz w:val="26"/>
                  <w:szCs w:val="26"/>
                  <w:rtl/>
                </w:rPr>
                <w:t>44119-10-23</w:t>
              </w:r>
            </w:sdtContent>
          </w:sdt>
          <w:bookmarkEnd w:id="0"/>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42E09">
                <w:rPr>
                  <w:rFonts w:hint="cs"/>
                  <w:b/>
                  <w:bCs/>
                  <w:noProof w:val="0"/>
                  <w:sz w:val="26"/>
                  <w:szCs w:val="26"/>
                  <w:rtl/>
                </w:rPr>
                <w:t>א'</w:t>
              </w:r>
              <w:r w:rsidR="00D42E09">
                <w:rPr>
                  <w:b/>
                  <w:bCs/>
                  <w:noProof w:val="0"/>
                  <w:sz w:val="26"/>
                  <w:szCs w:val="26"/>
                  <w:rtl/>
                </w:rPr>
                <w:t xml:space="preserve"> נ' א</w:t>
              </w:r>
              <w:r w:rsidR="00D42E09">
                <w:rPr>
                  <w:rFonts w:hint="cs"/>
                  <w:b/>
                  <w:bCs/>
                  <w:noProof w:val="0"/>
                  <w:sz w:val="26"/>
                  <w:szCs w:val="26"/>
                  <w:rtl/>
                </w:rPr>
                <w:t>'</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41D" w:rsidRDefault="0089741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0079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00796&amp;lt;/CaseID&amp;gt;_x000d__x000a_        &amp;lt;CaseMonth&amp;gt;10&amp;lt;/CaseMonth&amp;gt;_x000d__x000a_        &amp;lt;CaseYear&amp;gt;2023&amp;lt;/CaseYear&amp;gt;_x000d__x000a_        &amp;lt;CaseNumber&amp;gt;44119&amp;lt;/CaseNumber&amp;gt;_x000d__x000a_        &amp;lt;NumeratorGroupID&amp;gt;1&amp;lt;/NumeratorGroupID&amp;gt;_x000d__x000a_        &amp;lt;CaseName&amp;gt;אחמד נ&amp;#39; אחמד&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4119-10-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0-26T07:0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00796&amp;lt;/CaseID&amp;gt;_x000d__x000a_        &amp;lt;CaseMonth&amp;gt;10&amp;lt;/CaseMonth&amp;gt;_x000d__x000a_        &amp;lt;CaseYear&amp;gt;2023&amp;lt;/CaseYear&amp;gt;_x000d__x000a_        &amp;lt;CaseNumber&amp;gt;44119&amp;lt;/CaseNumber&amp;gt;_x000d__x000a_        &amp;lt;NumeratorGroupID&amp;gt;1&amp;lt;/NumeratorGroupID&amp;gt;_x000d__x000a_        &amp;lt;CaseName&amp;gt;אחמד נ&amp;#39; אחמד&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4119-10-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3-10-26T07:0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376447&amp;lt;/DecisionID&amp;gt;_x000d__x000a_        &amp;lt;DecisionName&amp;gt;פסק דין  שניתנה ע&amp;quot;י  חננאל שרעבי&amp;lt;/DecisionName&amp;gt;_x000d__x000a_        &amp;lt;DecisionStatusID&amp;gt;1&amp;lt;/DecisionStatusID&amp;gt;_x000d__x000a_        &amp;lt;DecisionStatusChangeDate&amp;gt;2023-12-04T13:31:24.097+02:00&amp;lt;/DecisionStatusChangeDate&amp;gt;_x000d__x000a_        &amp;lt;DecisionSignatureDate&amp;gt;2023-12-04T10:55:03.38+02:00&amp;lt;/DecisionSignatureDate&amp;gt;_x000d__x000a_        &amp;lt;DecisionSignatureUserID&amp;gt;056479827@GOV.IL&amp;lt;/DecisionSignatureUserID&amp;gt;_x000d__x000a_        &amp;lt;DecisionCreateDate&amp;gt;2023-12-04T11:01:58.023+02:00&amp;lt;/DecisionCreateDate&amp;gt;_x000d__x000a_        &amp;lt;DecisionChangeDate&amp;gt;2023-12-04T13:31:24.337+02: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752810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8376447&amp;lt;/DecisionID&amp;gt;_x000d__x000a_        &amp;lt;CaseID&amp;gt;80700796&amp;lt;/CaseID&amp;gt;_x000d__x000a_        &amp;lt;IsOriginal&amp;gt;true&amp;lt;/IsOriginal&amp;gt;_x000d__x000a_        &amp;lt;IsDeleted&amp;gt;false&amp;lt;/IsDeleted&amp;gt;_x000d__x000a_        &amp;lt;CaseName&amp;gt;אחמד נ&amp;#39; אחמד&amp;lt;/CaseName&amp;gt;_x000d__x000a_        &amp;lt;CaseDisplayIdentifier&amp;gt;44119-10-23 רמ&amp;quot;ש&amp;lt;/CaseDisplayIdentifier&amp;gt;_x000d__x000a_      &amp;lt;/dt_DecisionCase&amp;gt;_x000d__x000a_    &amp;lt;/DecisionDS&amp;gt;_x000d__x000a_  &amp;lt;/diffgr:diffgram&amp;gt;_x000d__x000a_&amp;lt;/DecisionDS&amp;gt;"/>
    <w:docVar w:name="DecisionID" w:val="148376447"/>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83CF5"/>
    <w:rsid w:val="00191C82"/>
    <w:rsid w:val="001B5C84"/>
    <w:rsid w:val="001C4003"/>
    <w:rsid w:val="001C7619"/>
    <w:rsid w:val="001D4DBF"/>
    <w:rsid w:val="001E75CA"/>
    <w:rsid w:val="002265FF"/>
    <w:rsid w:val="00271B56"/>
    <w:rsid w:val="00272E32"/>
    <w:rsid w:val="002C344E"/>
    <w:rsid w:val="002E75E9"/>
    <w:rsid w:val="002F0B1E"/>
    <w:rsid w:val="002F3CB9"/>
    <w:rsid w:val="002F53D9"/>
    <w:rsid w:val="00304EE9"/>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0FE0"/>
    <w:rsid w:val="00523621"/>
    <w:rsid w:val="00524986"/>
    <w:rsid w:val="005268F6"/>
    <w:rsid w:val="00534284"/>
    <w:rsid w:val="00547DB7"/>
    <w:rsid w:val="00557717"/>
    <w:rsid w:val="00576A86"/>
    <w:rsid w:val="005F4F09"/>
    <w:rsid w:val="005F5C7D"/>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3A8F"/>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9741D"/>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22E9F"/>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76E2D"/>
    <w:rsid w:val="00B809AD"/>
    <w:rsid w:val="00B80CBD"/>
    <w:rsid w:val="00B859C5"/>
    <w:rsid w:val="00B86096"/>
    <w:rsid w:val="00B964D9"/>
    <w:rsid w:val="00BA0A7C"/>
    <w:rsid w:val="00BA517C"/>
    <w:rsid w:val="00BB3D05"/>
    <w:rsid w:val="00BB53D3"/>
    <w:rsid w:val="00BB73BE"/>
    <w:rsid w:val="00BC2D89"/>
    <w:rsid w:val="00BD5286"/>
    <w:rsid w:val="00BD6531"/>
    <w:rsid w:val="00BE05B2"/>
    <w:rsid w:val="00BF1908"/>
    <w:rsid w:val="00C22D93"/>
    <w:rsid w:val="00C23458"/>
    <w:rsid w:val="00C23AC9"/>
    <w:rsid w:val="00C31120"/>
    <w:rsid w:val="00C34482"/>
    <w:rsid w:val="00C43648"/>
    <w:rsid w:val="00C50565"/>
    <w:rsid w:val="00C50A9F"/>
    <w:rsid w:val="00C642FA"/>
    <w:rsid w:val="00C770E3"/>
    <w:rsid w:val="00CC7622"/>
    <w:rsid w:val="00CD608F"/>
    <w:rsid w:val="00CF6BB7"/>
    <w:rsid w:val="00D04AA4"/>
    <w:rsid w:val="00D27982"/>
    <w:rsid w:val="00D33B86"/>
    <w:rsid w:val="00D42E09"/>
    <w:rsid w:val="00D44968"/>
    <w:rsid w:val="00D53924"/>
    <w:rsid w:val="00D55D0C"/>
    <w:rsid w:val="00D96D8C"/>
    <w:rsid w:val="00DA2495"/>
    <w:rsid w:val="00DA49E9"/>
    <w:rsid w:val="00DA6649"/>
    <w:rsid w:val="00DA6F87"/>
    <w:rsid w:val="00DC1259"/>
    <w:rsid w:val="00DC1BD2"/>
    <w:rsid w:val="00DC2571"/>
    <w:rsid w:val="00DC487C"/>
    <w:rsid w:val="00DD05A8"/>
    <w:rsid w:val="00DD4335"/>
    <w:rsid w:val="00DE1E7D"/>
    <w:rsid w:val="00DE6BF6"/>
    <w:rsid w:val="00E00709"/>
    <w:rsid w:val="00E1068A"/>
    <w:rsid w:val="00E16D73"/>
    <w:rsid w:val="00E25884"/>
    <w:rsid w:val="00E25B55"/>
    <w:rsid w:val="00E31C2B"/>
    <w:rsid w:val="00E44387"/>
    <w:rsid w:val="00E5426A"/>
    <w:rsid w:val="00E54642"/>
    <w:rsid w:val="00E80CBE"/>
    <w:rsid w:val="00E9269D"/>
    <w:rsid w:val="00E962E3"/>
    <w:rsid w:val="00EB6C79"/>
    <w:rsid w:val="00EC37E9"/>
    <w:rsid w:val="00F038D8"/>
    <w:rsid w:val="00F06995"/>
    <w:rsid w:val="00F12D66"/>
    <w:rsid w:val="00F13623"/>
    <w:rsid w:val="00F44D1D"/>
    <w:rsid w:val="00F611D1"/>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David">
    <w:name w:val="סגנון (עברית ושפות אחרות) David מיושר לשני הצדדים מרווח בין שורות..."/>
    <w:basedOn w:val="a"/>
    <w:rsid w:val="00183CF5"/>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A3E06" w:rsidP="006A3E06">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A3E06"/>
    <w:rsid w:val="00793995"/>
    <w:rsid w:val="007C6F98"/>
    <w:rsid w:val="007E254A"/>
    <w:rsid w:val="00817811"/>
    <w:rsid w:val="008B4366"/>
    <w:rsid w:val="009133C7"/>
    <w:rsid w:val="009178E4"/>
    <w:rsid w:val="00961B27"/>
    <w:rsid w:val="009A4BEE"/>
    <w:rsid w:val="00A51CA1"/>
    <w:rsid w:val="00AA7CE3"/>
    <w:rsid w:val="00AD53D7"/>
    <w:rsid w:val="00B00EB0"/>
    <w:rsid w:val="00B50DB2"/>
    <w:rsid w:val="00B91FA3"/>
    <w:rsid w:val="00BE6557"/>
    <w:rsid w:val="00C96C06"/>
    <w:rsid w:val="00CE1DCB"/>
    <w:rsid w:val="00D24521"/>
    <w:rsid w:val="00E31BF6"/>
    <w:rsid w:val="00E81DB1"/>
    <w:rsid w:val="00EC03CC"/>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A3E0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A3E0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80700796</CaseID>
    <CaseJudicialPersonPresentationDS>
      <CaseJudicalPersonActive>
        <CaseID>80700796</CaseID>
        <JudicialPersonID>056479827@GOV.IL</JudicialPersonID>
        <JudicialPersonTypeID>1</JudicialPersonTypeID>
        <JudicialTypeID>1</JudicialTypeID>
        <IsChairman>false</IsChairman>
        <TreatmentStartDate>2023-10-26T09:34:50.513+03:00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הישאם עאסלה</FullName>
        <FirstName>הישאם</FirstName>
        <LastName>עאסלה</LastName>
        <PartyPropertyName/>
        <AuthenticationTypeAndNumber>מ.ר. 34954</AuthenticationTypeAndNumber>
        <RepresentatedOrRepresentativesNames>גאלב עאסלה</RepresentatedOrRepresentativesNames>
        <RepresentatedOrRepresentativesCount>1</RepresentatedOrRepresentativesCount>
        <InvitedBy/>
        <CaseID>80700796</CaseID>
        <CaseJudicialPersonPresentationDS>
          <CaseJudicalPersonActive>
            <CaseID>80700796</CaseID>
            <JudicialPersonID>056479827@GOV.IL</JudicialPersonID>
            <JudicialPersonTypeID>1</JudicialPersonTypeID>
            <JudicialTypeID>1</JudicialTypeID>
            <IsChairman>false</IsChairman>
            <TreatmentStartDate>2023-10-26T09:34:50.513+03:00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263012614</CasePartyID>
        <PartyTypeID>2</PartyTypeID>
        <ActivityStatusID>1</ActivityStatusID>
        <PartyAliasID>22</PartyAliasID>
        <PartyAliasName>בא כוח מבקשים</PartyAliasName>
        <LegalEntityID>407553</LegalEntityID>
        <CaseLegalEntityID>126785544</CaseLegalEntityID>
        <AuthenticationTypeID>4</AuthenticationTypeID>
        <AuthenticationTypeName>מ.ר.</AuthenticationTypeName>
        <LegalEntityNumber>34954</LegalEntityNumber>
        <IsMainPartyType>true</IsMainPartyType>
        <CaseDisplayIdentifier>44119-10-23</CaseDisplayIdentifier>
        <CaseTypeID>10074</CaseTypeID>
        <CaseTypeName>רשות ערעור משפחה (רמ"ש)</CaseTypeName>
        <CaseName>אחמד נ' אחמד</CaseName>
        <FullAddress>ת.ד-233 עראבה </FullAddress>
        <MotionID>0</MotionID>
        <CasePleaID>0</CasePleaID>
        <FatherName>נסים</FatherName>
        <LinkedCaseID>0</LinkedCaseID>
        <CasePartyCategoryID>2</CasePartyCategoryID>
        <LegalEntityAddressID>74420843</LegalEntityAddressID>
        <PleaTypeID>5</PleaTypeID>
        <LawyerOfficeName>משרד עו"ד: הישאם עאסלה</LawyerOfficeName>
        <LawyerOfficeID>448197</LawyerOfficeID>
        <GroupPartyAlias/>
        <IsConverted>false</IsConverted>
        <LegalEntityNameID>28537</LegalEntityNameID>
        <RepresentatedNamesOfAssistant/>
        <LegalEntityTypeID>4</LegalEntityTypeID>
        <IsVerdictExists>false</IsVerdictExists>
        <IsAsirAzir>false</IsAsirAzir>
        <IsPublicationProhibited>false</IsPublicationProhibited>
        <PublicationProhibitedFullName>הישאם עאסלה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מוופק אבו יונס</FullName>
        <FirstName>מוופק</FirstName>
        <LastName>אבו יונס</LastName>
        <PartyPropertyName/>
        <AuthenticationTypeAndNumber>מ.ר. 25813</AuthenticationTypeAndNumber>
        <RepresentatedOrRepresentativesNames>איהאב אחמד</RepresentatedOrRepresentativesNames>
        <RepresentatedOrRepresentativesCount>1</RepresentatedOrRepresentativesCount>
        <InvitedBy/>
        <CaseID>80700796</CaseID>
        <CaseJudicialPersonPresentationDS>
          <CaseJudicalPersonActive>
            <CaseID>80700796</CaseID>
            <JudicialPersonID>056479827@GOV.IL</JudicialPersonID>
            <JudicialPersonTypeID>1</JudicialPersonTypeID>
            <JudicialTypeID>1</JudicialTypeID>
            <IsChairman>false</IsChairman>
            <TreatmentStartDate>2023-10-26T09:34:50.513+03:00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261854781</CasePartyID>
        <PartyTypeID>2</PartyTypeID>
        <ActivityStatusID>1</ActivityStatusID>
        <PartyAliasID>23</PartyAliasID>
        <PartyAliasName>בא כוח משיבים</PartyAliasName>
        <LegalEntityID>386743</LegalEntityID>
        <CaseLegalEntityID>126386668</CaseLegalEntityID>
        <AuthenticationTypeID>4</AuthenticationTypeID>
        <AuthenticationTypeName>מ.ר.</AuthenticationTypeName>
        <LegalEntityNumber>25813</LegalEntityNumber>
        <IsMainPartyType>true</IsMainPartyType>
        <CaseDisplayIdentifier>44119-10-23</CaseDisplayIdentifier>
        <CaseTypeID>10074</CaseTypeID>
        <CaseTypeName>רשות ערעור משפחה (רמ"ש)</CaseTypeName>
        <CaseName>אחמד נ' אחמד</CaseName>
        <FullAddress>איצטדיון דוחא סח'נין ת.ד 1817</FullAddress>
        <EmailAddress>abuyunis.m@hotmail.com</EmailAddress>
        <MotionID>0</MotionID>
        <CasePleaID>0</CasePleaID>
        <FatherName xml:space="preserve">        </FatherName>
        <LinkedCaseID>0</LinkedCaseID>
        <PartyID>2</PartyID>
        <CasePartyCategoryID>2</CasePartyCategoryID>
        <LegalEntityAddressID>33471752</LegalEntityAddressID>
        <LegalEntityEmailAddressID>67889192</LegalEntityEmailAddressID>
        <PleaTypeID>5</PleaTypeID>
        <LawyerOfficeName>משרד עו"ד: מוופק אבו יונס</LawyerOfficeName>
        <LawyerOfficeID>427387</LawyerOfficeID>
        <GroupPartyAlias/>
        <IsConverted>false</IsConverted>
        <LegalEntityNameID>7727</LegalEntityNameID>
        <RepresentatedNamesOfAssistant/>
        <LegalEntityTypeID>4</LegalEntityTypeID>
        <IsVerdictExists>false</IsVerdictExists>
        <IsAsirAzir>false</IsAsirAzir>
        <IsPublicationProhibited>false</IsPublicationProhibited>
        <PublicationProhibitedFullName>מוופק אבו יונס</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סעיד גאליה</FullName>
        <FirstName>סעיד</FirstName>
        <LastName>גאליה</LastName>
        <PartyPropertyName/>
        <AuthenticationTypeAndNumber>מ.ר. 36416</AuthenticationTypeAndNumber>
        <RepresentatedOrRepresentativesNames>סחר אחמד</RepresentatedOrRepresentativesNames>
        <RepresentatedOrRepresentativesCount>1</RepresentatedOrRepresentativesCount>
        <InvitedBy/>
        <CaseID>80700796</CaseID>
        <CaseJudicialPersonPresentationDS>
          <CaseJudicalPersonActive>
            <CaseID>80700796</CaseID>
            <JudicialPersonID>056479827@GOV.IL</JudicialPersonID>
            <JudicialPersonTypeID>1</JudicialPersonTypeID>
            <JudicialTypeID>1</JudicialTypeID>
            <IsChairman>false</IsChairman>
            <TreatmentStartDate>2023-10-26T09:34:50.513+03:00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261854498</CasePartyID>
        <PartyTypeID>2</PartyTypeID>
        <ActivityStatusID>1</ActivityStatusID>
        <PartyAliasID>22</PartyAliasID>
        <PartyAliasName>בא כוח מבקשים</PartyAliasName>
        <OrdinalNumber>1</OrdinalNumber>
        <LegalEntityID>407521</LegalEntityID>
        <CaseLegalEntityID>126386535</CaseLegalEntityID>
        <AuthenticationTypeID>4</AuthenticationTypeID>
        <AuthenticationTypeName>מ.ר.</AuthenticationTypeName>
        <LegalEntityNumber>36416</LegalEntityNumber>
        <IsMainPartyType>true</IsMainPartyType>
        <CaseDisplayIdentifier>44119-10-23</CaseDisplayIdentifier>
        <CaseTypeID>10074</CaseTypeID>
        <CaseTypeName>רשות ערעור משפחה (רמ"ש)</CaseTypeName>
        <CaseName>אחמד נ' אחמד</CaseName>
        <FullAddress>שלומציון המלכה 18 ירושלים ת.ד. 434</FullAddress>
        <EmailAddress>office@sgh-law.co.il</EmailAddress>
        <MotionID>0</MotionID>
        <CasePleaID>0</CasePleaID>
        <LinkedCaseID>0</LinkedCaseID>
        <PartyID>1</PartyID>
        <CasePartyCategoryID>2</CasePartyCategoryID>
        <LegalEntityAddressID>87049914</LegalEntityAddressID>
        <LegalEntityEmailAddressID>68214887</LegalEntityEmailAddressID>
        <PleaTypeID>5</PleaTypeID>
        <LawyerOfficeName>משרד עו"ד : סעיד גאליה</LawyerOfficeName>
        <LawyerOfficeID>80744964</LawyerOfficeID>
        <GroupPartyAlias/>
        <IsConverted>false</IsConverted>
        <LegalEntityNameID>28505</LegalEntityNameID>
        <RepresentatedNamesOfAssistant/>
        <LegalEntityTypeID>4</LegalEntityTypeID>
        <IsVerdictExists>false</IsVerdictExists>
        <IsAsirAzir>false</IsAsirAzir>
        <IsPublicationProhibited>false</IsPublicationProhibited>
        <PublicationProhibitedFullName>סעיד גאליה</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סחר אחמד</FullName>
        <FirstName>סחר</FirstName>
        <LastName>אחמד</LastName>
        <PartyPropertyName/>
        <AuthenticationTypeAndNumber>ת"ז 029207362</AuthenticationTypeAndNumber>
        <RepresentatedOrRepresentativesNames>סעיד גאליה</RepresentatedOrRepresentativesNames>
        <RepresentatedOrRepresentativesCount>1</RepresentatedOrRepresentativesCount>
        <InvitedBy/>
        <CaseID>80700796</CaseID>
        <CaseJudicialPersonPresentationDS>
          <CaseJudicalPersonActive>
            <CaseID>80700796</CaseID>
            <JudicialPersonID>056479827@GOV.IL</JudicialPersonID>
            <JudicialPersonTypeID>1</JudicialPersonTypeID>
            <JudicialTypeID>1</JudicialTypeID>
            <IsChairman>false</IsChairman>
            <TreatmentStartDate>2023-10-26T09:34:50.513+03:00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261854496</CasePartyID>
        <PartyTypeID>1</PartyTypeID>
        <ActivityStatusID>1</ActivityStatusID>
        <PartyAliasID>3</PartyAliasID>
        <PartyAliasName>מבקש</PartyAliasName>
        <OrdinalNumber>1</OrdinalNumber>
        <LegalEntityID>71078211</LegalEntityID>
        <CaseLegalEntityID>126386533</CaseLegalEntityID>
        <AuthenticationTypeID>1</AuthenticationTypeID>
        <AuthenticationTypeName>ת"ז</AuthenticationTypeName>
        <LegalEntityNumber>029207362</LegalEntityNumber>
        <IsMainPartyType>true</IsMainPartyType>
        <CaseDisplayIdentifier>44119-10-23</CaseDisplayIdentifier>
        <CaseTypeID>10074</CaseTypeID>
        <CaseTypeName>רשות ערעור משפחה (רמ"ש)</CaseTypeName>
        <CaseName>אחמד נ' אחמד</CaseName>
        <FullAddress>עראבה </FullAddress>
        <MotionID>0</MotionID>
        <CasePleaID>0</CasePleaID>
        <FatherName>עלי</FatherName>
        <LinkedCaseID>0</LinkedCaseID>
        <PartyID>1</PartyID>
        <CasePartyCategoryID>2</CasePartyCategoryID>
        <LegalEntityAddressID>87476822</LegalEntityAddressID>
        <PleaTypeID>5</PleaTypeID>
        <GroupPartyAlias>מבקשים</GroupPartyAlias>
        <IsConverted>false</IsConverted>
        <LegalEntityRegisteredNameID>4799456</LegalEntityRegisteredNameID>
        <LegalEntityNameID>94318273</LegalEntityNameID>
        <RepresentatedNamesOfAssistant/>
        <LegalEntityTypeID>1</LegalEntityTypeID>
        <IsVerdictExists>false</IsVerdictExists>
        <IsAsirAzir>false</IsAsirAzir>
        <IsPublicationProhibited>false</IsPublicationProhibited>
        <PublicationProhibitedFullName>סחר אחמד</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איהאב אחמד</FullName>
        <FirstName>איהאב</FirstName>
        <LastName>אחמד</LastName>
        <PartyPropertyName/>
        <AuthenticationTypeAndNumber>ת"ז 313817199</AuthenticationTypeAndNumber>
        <RepresentatedOrRepresentativesNames>מוופק אבו יונס</RepresentatedOrRepresentativesNames>
        <RepresentatedOrRepresentativesCount>1</RepresentatedOrRepresentativesCount>
        <InvitedBy/>
        <CaseID>80700796</CaseID>
        <CaseJudicialPersonPresentationDS>
          <CaseJudicalPersonActive>
            <CaseID>80700796</CaseID>
            <JudicialPersonID>056479827@GOV.IL</JudicialPersonID>
            <JudicialPersonTypeID>1</JudicialPersonTypeID>
            <JudicialTypeID>1</JudicialTypeID>
            <IsChairman>false</IsChairman>
            <TreatmentStartDate>2023-10-26T09:34:50.513+03:00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261854497</CasePartyID>
        <PartyTypeID>1</PartyTypeID>
        <ActivityStatusID>1</ActivityStatusID>
        <PartyAliasID>4</PartyAliasID>
        <PartyAliasName>משיב</PartyAliasName>
        <OrdinalNumber>1</OrdinalNumber>
        <LegalEntityID>70554685</LegalEntityID>
        <CaseLegalEntityID>126386534</CaseLegalEntityID>
        <AuthenticationTypeID>1</AuthenticationTypeID>
        <AuthenticationTypeName>ת"ז</AuthenticationTypeName>
        <LegalEntityNumber>313817199</LegalEntityNumber>
        <IsMainPartyType>true</IsMainPartyType>
        <CaseDisplayIdentifier>44119-10-23</CaseDisplayIdentifier>
        <CaseTypeID>10074</CaseTypeID>
        <CaseTypeName>רשות ערעור משפחה (רמ"ש)</CaseTypeName>
        <CaseName>אחמד נ' אחמד</CaseName>
        <FullAddress>עראבה </FullAddress>
        <MotionID>0</MotionID>
        <CasePleaID>0</CasePleaID>
        <FatherName>אחמד</FatherName>
        <LinkedCaseID>0</LinkedCaseID>
        <PartyID>2</PartyID>
        <CasePartyCategoryID>2</CasePartyCategoryID>
        <LegalEntityAddressID>87476821</LegalEntityAddressID>
        <GrandfatherName/>
        <DrivingLicenseNumber>7176011</DrivingLicenseNumber>
        <PleaTypeID>5</PleaTypeID>
        <GroupPartyAlias>משיבים</GroupPartyAlias>
        <IsConverted>false</IsConverted>
        <LegalEntityRegisteredNameID>8718167</LegalEntityRegisteredNameID>
        <LegalEntityNameID>94318272</LegalEntityNameID>
        <RepresentatedNamesOfAssistant/>
        <LegalEntityTypeID>1</LegalEntityTypeID>
        <IsVerdictExists>false</IsVerdictExists>
        <IsAsirAzir>false</IsAsirAzir>
        <IsPublicationProhibited>false</IsPublicationProhibited>
        <PublicationProhibitedFullName>איהאב אחמד</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2023-12-04T10:55:03.3815318+02:00</DecisionSignatureDate>
    <OpenCaseDate>2023-10-26T07:03:00+03:00</OpenCaseDate>
    <CaseFeeSum>0.000</CaseFeeSum>
    <DecisionTypeID>2</DecisionTypeID>
    <DecisionSignatureUserName>חננאל שרעבי</DecisionSignatureUserName>
    <DecisionSignatureDateHebrew>2023-12-04T10:55:03.3815318+02:00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אחמד נ' אחמד</CaseName>
    <DecisionNumberInCase>8</DecisionNumberInCase>
  </dt_Decision>
  <dt_DecisionCase>
    <DecisionID>0</DecisionID>
    <CaseID>80700796</CaseID>
    <CaseJudicialPersonPresentationDS>
      <CaseJudicalPersonActive>
        <CaseID>80700796</CaseID>
        <JudicialPersonID>056479827@GOV.IL</JudicialPersonID>
        <JudicialPersonTypeID>1</JudicialPersonTypeID>
        <JudicialTypeID>1</JudicialTypeID>
        <IsChairman>false</IsChairman>
        <TreatmentStartDate>2023-10-26T09:34:50.513+03:00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הישאם עאסלה</FullName>
        <FirstName>הישאם</FirstName>
        <LastName>עאסלה</LastName>
        <PartyPropertyName/>
        <AuthenticationTypeAndNumber>מ.ר. 34954</AuthenticationTypeAndNumber>
        <RepresentatedOrRepresentativesNames>גאלב עאסלה</RepresentatedOrRepresentativesNames>
        <RepresentatedOrRepresentativesCount>1</RepresentatedOrRepresentativesCount>
        <InvitedBy/>
        <CaseID>80700796</CaseID>
        <CaseJudicialPersonPresentationDS>
          <CaseJudicalPersonActive>
            <CaseID>80700796</CaseID>
            <JudicialPersonID>056479827@GOV.IL</JudicialPersonID>
            <JudicialPersonTypeID>1</JudicialPersonTypeID>
            <JudicialTypeID>1</JudicialTypeID>
            <IsChairman>false</IsChairman>
            <TreatmentStartDate>2023-10-26T09:34:50.513+03:00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263012614</CasePartyID>
        <PartyTypeID>2</PartyTypeID>
        <ActivityStatusID>1</ActivityStatusID>
        <PartyAliasID>22</PartyAliasID>
        <PartyAliasName>בא כוח מבקשים</PartyAliasName>
        <LegalEntityID>407553</LegalEntityID>
        <CaseLegalEntityID>126785544</CaseLegalEntityID>
        <AuthenticationTypeID>4</AuthenticationTypeID>
        <AuthenticationTypeName>מ.ר.</AuthenticationTypeName>
        <LegalEntityNumber>34954</LegalEntityNumber>
        <IsMainPartyType>true</IsMainPartyType>
        <CaseDisplayIdentifier>44119-10-23</CaseDisplayIdentifier>
        <CaseTypeID>10074</CaseTypeID>
        <CaseTypeName>רשות ערעור משפחה (רמ"ש)</CaseTypeName>
        <CaseName>אחמד נ' אחמד</CaseName>
        <FullAddress>ת.ד-233 עראבה </FullAddress>
        <MotionID>0</MotionID>
        <CasePleaID>0</CasePleaID>
        <FatherName>נסים</FatherName>
        <LinkedCaseID>0</LinkedCaseID>
        <CasePartyCategoryID>2</CasePartyCategoryID>
        <LegalEntityAddressID>74420843</LegalEntityAddressID>
        <PleaTypeID>5</PleaTypeID>
        <LawyerOfficeName>משרד עו"ד: הישאם עאסלה</LawyerOfficeName>
        <LawyerOfficeID>448197</LawyerOfficeID>
        <GroupPartyAlias/>
        <IsConverted>false</IsConverted>
        <LegalEntityNameID>28537</LegalEntityNameID>
        <RepresentatedNamesOfAssistant/>
        <LegalEntityTypeID>4</LegalEntityTypeID>
        <IsVerdictExists>false</IsVerdictExists>
        <IsAsirAzir>false</IsAsirAzir>
        <IsPublicationProhibited>false</IsPublicationProhibited>
        <PublicationProhibitedFullName>הישאם עאסלה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מוופק אבו יונס</FullName>
        <FirstName>מוופק</FirstName>
        <LastName>אבו יונס</LastName>
        <PartyPropertyName/>
        <AuthenticationTypeAndNumber>מ.ר. 25813</AuthenticationTypeAndNumber>
        <RepresentatedOrRepresentativesNames>איהאב אחמד</RepresentatedOrRepresentativesNames>
        <RepresentatedOrRepresentativesCount>1</RepresentatedOrRepresentativesCount>
        <InvitedBy/>
        <CaseID>80700796</CaseID>
        <CaseJudicialPersonPresentationDS>
          <CaseJudicalPersonActive>
            <CaseID>80700796</CaseID>
            <JudicialPersonID>056479827@GOV.IL</JudicialPersonID>
            <JudicialPersonTypeID>1</JudicialPersonTypeID>
            <JudicialTypeID>1</JudicialTypeID>
            <IsChairman>false</IsChairman>
            <TreatmentStartDate>2023-10-26T09:34:50.513+03:00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261854781</CasePartyID>
        <PartyTypeID>2</PartyTypeID>
        <ActivityStatusID>1</ActivityStatusID>
        <PartyAliasID>23</PartyAliasID>
        <PartyAliasName>בא כוח משיבים</PartyAliasName>
        <LegalEntityID>386743</LegalEntityID>
        <CaseLegalEntityID>126386668</CaseLegalEntityID>
        <AuthenticationTypeID>4</AuthenticationTypeID>
        <AuthenticationTypeName>מ.ר.</AuthenticationTypeName>
        <LegalEntityNumber>25813</LegalEntityNumber>
        <IsMainPartyType>true</IsMainPartyType>
        <CaseDisplayIdentifier>44119-10-23</CaseDisplayIdentifier>
        <CaseTypeID>10074</CaseTypeID>
        <CaseTypeName>רשות ערעור משפחה (רמ"ש)</CaseTypeName>
        <CaseName>אחמד נ' אחמד</CaseName>
        <FullAddress>איצטדיון דוחא סח'נין ת.ד 1817</FullAddress>
        <EmailAddress>abuyunis.m@hotmail.com</EmailAddress>
        <MotionID>0</MotionID>
        <CasePleaID>0</CasePleaID>
        <FatherName xml:space="preserve">        </FatherName>
        <LinkedCaseID>0</LinkedCaseID>
        <PartyID>2</PartyID>
        <CasePartyCategoryID>2</CasePartyCategoryID>
        <LegalEntityAddressID>33471752</LegalEntityAddressID>
        <LegalEntityEmailAddressID>67889192</LegalEntityEmailAddressID>
        <PleaTypeID>5</PleaTypeID>
        <LawyerOfficeName>משרד עו"ד: מוופק אבו יונס</LawyerOfficeName>
        <LawyerOfficeID>427387</LawyerOfficeID>
        <GroupPartyAlias/>
        <IsConverted>false</IsConverted>
        <LegalEntityNameID>7727</LegalEntityNameID>
        <RepresentatedNamesOfAssistant/>
        <LegalEntityTypeID>4</LegalEntityTypeID>
        <IsVerdictExists>false</IsVerdictExists>
        <IsAsirAzir>false</IsAsirAzir>
        <IsPublicationProhibited>false</IsPublicationProhibited>
        <PublicationProhibitedFullName>מוופק אבו יונס</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סעיד גאליה</FullName>
        <FirstName>סעיד</FirstName>
        <LastName>גאליה</LastName>
        <PartyPropertyName/>
        <AuthenticationTypeAndNumber>מ.ר. 36416</AuthenticationTypeAndNumber>
        <RepresentatedOrRepresentativesNames>סחר אחמד</RepresentatedOrRepresentativesNames>
        <RepresentatedOrRepresentativesCount>1</RepresentatedOrRepresentativesCount>
        <InvitedBy/>
        <CaseID>80700796</CaseID>
        <CaseJudicialPersonPresentationDS>
          <CaseJudicalPersonActive>
            <CaseID>80700796</CaseID>
            <JudicialPersonID>056479827@GOV.IL</JudicialPersonID>
            <JudicialPersonTypeID>1</JudicialPersonTypeID>
            <JudicialTypeID>1</JudicialTypeID>
            <IsChairman>false</IsChairman>
            <TreatmentStartDate>2023-10-26T09:34:50.513+03:00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261854498</CasePartyID>
        <PartyTypeID>2</PartyTypeID>
        <ActivityStatusID>1</ActivityStatusID>
        <PartyAliasID>22</PartyAliasID>
        <PartyAliasName>בא כוח מבקשים</PartyAliasName>
        <OrdinalNumber>1</OrdinalNumber>
        <LegalEntityID>407521</LegalEntityID>
        <CaseLegalEntityID>126386535</CaseLegalEntityID>
        <AuthenticationTypeID>4</AuthenticationTypeID>
        <AuthenticationTypeName>מ.ר.</AuthenticationTypeName>
        <LegalEntityNumber>36416</LegalEntityNumber>
        <IsMainPartyType>true</IsMainPartyType>
        <CaseDisplayIdentifier>44119-10-23</CaseDisplayIdentifier>
        <CaseTypeID>10074</CaseTypeID>
        <CaseTypeName>רשות ערעור משפחה (רמ"ש)</CaseTypeName>
        <CaseName>אחמד נ' אחמד</CaseName>
        <FullAddress>שלומציון המלכה 18 ירושלים ת.ד. 434</FullAddress>
        <EmailAddress>office@sgh-law.co.il</EmailAddress>
        <MotionID>0</MotionID>
        <CasePleaID>0</CasePleaID>
        <LinkedCaseID>0</LinkedCaseID>
        <PartyID>1</PartyID>
        <CasePartyCategoryID>2</CasePartyCategoryID>
        <LegalEntityAddressID>87049914</LegalEntityAddressID>
        <LegalEntityEmailAddressID>68214887</LegalEntityEmailAddressID>
        <PleaTypeID>5</PleaTypeID>
        <LawyerOfficeName>משרד עו"ד : סעיד גאליה</LawyerOfficeName>
        <LawyerOfficeID>80744964</LawyerOfficeID>
        <GroupPartyAlias/>
        <IsConverted>false</IsConverted>
        <LegalEntityNameID>28505</LegalEntityNameID>
        <RepresentatedNamesOfAssistant/>
        <LegalEntityTypeID>4</LegalEntityTypeID>
        <IsVerdictExists>false</IsVerdictExists>
        <IsAsirAzir>false</IsAsirAzir>
        <IsPublicationProhibited>false</IsPublicationProhibited>
        <PublicationProhibitedFullName>סעיד גאליה</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סחר אחמד</FullName>
        <FirstName>סחר</FirstName>
        <LastName>אחמד</LastName>
        <PartyPropertyName/>
        <AuthenticationTypeAndNumber>ת"ז 029207362</AuthenticationTypeAndNumber>
        <RepresentatedOrRepresentativesNames>סעיד גאליה</RepresentatedOrRepresentativesNames>
        <RepresentatedOrRepresentativesCount>1</RepresentatedOrRepresentativesCount>
        <InvitedBy/>
        <CaseID>80700796</CaseID>
        <CaseJudicialPersonPresentationDS>
          <CaseJudicalPersonActive>
            <CaseID>80700796</CaseID>
            <JudicialPersonID>056479827@GOV.IL</JudicialPersonID>
            <JudicialPersonTypeID>1</JudicialPersonTypeID>
            <JudicialTypeID>1</JudicialTypeID>
            <IsChairman>false</IsChairman>
            <TreatmentStartDate>2023-10-26T09:34:50.513+03:00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261854496</CasePartyID>
        <PartyTypeID>1</PartyTypeID>
        <ActivityStatusID>1</ActivityStatusID>
        <PartyAliasID>3</PartyAliasID>
        <PartyAliasName>מבקש</PartyAliasName>
        <OrdinalNumber>1</OrdinalNumber>
        <LegalEntityID>71078211</LegalEntityID>
        <CaseLegalEntityID>126386533</CaseLegalEntityID>
        <AuthenticationTypeID>1</AuthenticationTypeID>
        <AuthenticationTypeName>ת"ז</AuthenticationTypeName>
        <LegalEntityNumber>029207362</LegalEntityNumber>
        <IsMainPartyType>true</IsMainPartyType>
        <CaseDisplayIdentifier>44119-10-23</CaseDisplayIdentifier>
        <CaseTypeID>10074</CaseTypeID>
        <CaseTypeName>רשות ערעור משפחה (רמ"ש)</CaseTypeName>
        <CaseName>אחמד נ' אחמד</CaseName>
        <FullAddress>עראבה </FullAddress>
        <MotionID>0</MotionID>
        <CasePleaID>0</CasePleaID>
        <FatherName>עלי</FatherName>
        <LinkedCaseID>0</LinkedCaseID>
        <PartyID>1</PartyID>
        <CasePartyCategoryID>2</CasePartyCategoryID>
        <LegalEntityAddressID>87476822</LegalEntityAddressID>
        <PleaTypeID>5</PleaTypeID>
        <GroupPartyAlias>מבקשים</GroupPartyAlias>
        <IsConverted>false</IsConverted>
        <LegalEntityRegisteredNameID>4799456</LegalEntityRegisteredNameID>
        <LegalEntityNameID>94318273</LegalEntityNameID>
        <RepresentatedNamesOfAssistant/>
        <LegalEntityTypeID>1</LegalEntityTypeID>
        <IsVerdictExists>false</IsVerdictExists>
        <IsAsirAzir>false</IsAsirAzir>
        <IsPublicationProhibited>false</IsPublicationProhibited>
        <PublicationProhibitedFullName>סחר אחמד</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איהאב אחמד</FullName>
        <FirstName>איהאב</FirstName>
        <LastName>אחמד</LastName>
        <PartyPropertyName/>
        <AuthenticationTypeAndNumber>ת"ז 313817199</AuthenticationTypeAndNumber>
        <RepresentatedOrRepresentativesNames>מוופק אבו יונס</RepresentatedOrRepresentativesNames>
        <RepresentatedOrRepresentativesCount>1</RepresentatedOrRepresentativesCount>
        <InvitedBy/>
        <CaseID>80700796</CaseID>
        <CaseJudicialPersonPresentationDS>
          <CaseJudicalPersonActive>
            <CaseID>80700796</CaseID>
            <JudicialPersonID>056479827@GOV.IL</JudicialPersonID>
            <JudicialPersonTypeID>1</JudicialPersonTypeID>
            <JudicialTypeID>1</JudicialTypeID>
            <IsChairman>false</IsChairman>
            <TreatmentStartDate>2023-10-26T09:34:50.513+03:00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261854497</CasePartyID>
        <PartyTypeID>1</PartyTypeID>
        <ActivityStatusID>1</ActivityStatusID>
        <PartyAliasID>4</PartyAliasID>
        <PartyAliasName>משיב</PartyAliasName>
        <OrdinalNumber>1</OrdinalNumber>
        <LegalEntityID>70554685</LegalEntityID>
        <CaseLegalEntityID>126386534</CaseLegalEntityID>
        <AuthenticationTypeID>1</AuthenticationTypeID>
        <AuthenticationTypeName>ת"ז</AuthenticationTypeName>
        <LegalEntityNumber>313817199</LegalEntityNumber>
        <IsMainPartyType>true</IsMainPartyType>
        <CaseDisplayIdentifier>44119-10-23</CaseDisplayIdentifier>
        <CaseTypeID>10074</CaseTypeID>
        <CaseTypeName>רשות ערעור משפחה (רמ"ש)</CaseTypeName>
        <CaseName>אחמד נ' אחמד</CaseName>
        <FullAddress>עראבה </FullAddress>
        <MotionID>0</MotionID>
        <CasePleaID>0</CasePleaID>
        <FatherName>אחמד</FatherName>
        <LinkedCaseID>0</LinkedCaseID>
        <PartyID>2</PartyID>
        <CasePartyCategoryID>2</CasePartyCategoryID>
        <LegalEntityAddressID>87476821</LegalEntityAddressID>
        <GrandfatherName/>
        <DrivingLicenseNumber>7176011</DrivingLicenseNumber>
        <PleaTypeID>5</PleaTypeID>
        <GroupPartyAlias>משיבים</GroupPartyAlias>
        <IsConverted>false</IsConverted>
        <LegalEntityRegisteredNameID>8718167</LegalEntityRegisteredNameID>
        <LegalEntityNameID>94318272</LegalEntityNameID>
        <RepresentatedNamesOfAssistant/>
        <LegalEntityTypeID>1</LegalEntityTypeID>
        <IsVerdictExists>false</IsVerdictExists>
        <IsAsirAzir>false</IsAsirAzir>
        <IsPublicationProhibited>false</IsPublicationProhibited>
        <PublicationProhibitedFullName>איהאב אחמד</PublicationProhibitedFullName>
      </CaseParties>
    </CasePartiesSelectionDS>
    <CaseName>אחמד נ' אחמד</CaseName>
    <CaseDisplayIdentifier>44119-10-23</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Fax>04-6747796</Fax>
    <Phone>04-6746255</Phone>
    <AddressDesc>ת.ד 1817</AddressDesc>
    <PartyID>2</PartyID>
    <PartyTypeID>2</PartyTypeID>
    <DecisionID>0</DecisionID>
    <StreetName>איצטדיון דוחא</StreetName>
    <ZipCode>30810</ZipCode>
    <CityName>סח'נין</CityName>
    <FullName>מוופק אבו יונס</FullName>
    <Email>abuyunis.m@hotmail.com</Email>
    <IsPublicationProhibited>false</IsPublicationProhibited>
  </dt_LegalEntityDetails>
  <dt_LegalEntityDetails>
    <Fax>04-6292367</Fax>
    <Phone>04-6743987</Phone>
    <PartyTypeID>2</PartyTypeID>
    <DecisionID>0</DecisionID>
    <StreetName>ת.ד-233</StreetName>
    <ZipCode>30812</ZipCode>
    <CityName>עראבה</CityName>
    <FullName>הישאם עאסלה</FullName>
    <IsPublicationProhibited>false</IsPublicationProhibited>
  </dt_LegalEntityDetails>
  <dt_LegalEntityDetails>
    <PartyID>1</PartyID>
    <PartyTypeID>1</PartyTypeID>
    <DecisionID>0</DecisionID>
    <ZipCode>3081200</ZipCode>
    <CityName>עראבה</CityName>
    <FullName>סחר אחמד</FullName>
    <IsPublicationProhibited>false</IsPublicationProhibited>
  </dt_LegalEntityDetails>
  <dt_LegalEntityDetails>
    <PartyID>2</PartyID>
    <PartyTypeID>1</PartyTypeID>
    <DecisionID>0</DecisionID>
    <ZipCode>3081200</ZipCode>
    <CityName>עראבה</CityName>
    <FullName>איהאב אחמד</FullName>
    <IsPublicationProhibited>false</IsPublicationProhibited>
  </dt_LegalEntityDetails>
  <dt_LegalEntityDetails>
    <Fax>02-6227420</Fax>
    <Phone>02-6227410</Phone>
    <AddressDesc>ת.ד. 434</AddressDesc>
    <PartyID>1</PartyID>
    <PartyTypeID>2</PartyTypeID>
    <DecisionID>0</DecisionID>
    <StreetName>שלומציון המלכה 18</StreetName>
    <ZipCode>1900309</ZipCode>
    <CityName>ירושלים</CityName>
    <FullName>סעיד גאליה</FullName>
    <Email>office@sgh-law.co.il</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737B9-0C1A-4BC8-A029-13DAEB914786}">
  <ds:schemaRefs/>
</ds:datastoreItem>
</file>

<file path=customXml/itemProps2.xml><?xml version="1.0" encoding="utf-8"?>
<ds:datastoreItem xmlns:ds="http://schemas.openxmlformats.org/officeDocument/2006/customXml" ds:itemID="{73282DA1-EE7B-4A4E-B264-83C5F60C5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2173</Words>
  <Characters>10869</Characters>
  <Application>Microsoft Office Word</Application>
  <DocSecurity>0</DocSecurity>
  <Lines>90</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2023-12-14T06:43:00Z</dcterms:created>
  <dcterms:modified xsi:type="dcterms:W3CDTF">2023-12-14T06:43:00Z</dcterms:modified>
</cp:coreProperties>
</file>